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D861" w14:textId="77777777" w:rsidR="0056386D" w:rsidRDefault="0056386D" w:rsidP="0056386D">
      <w:pPr>
        <w:rPr>
          <w:rFonts w:ascii="David" w:hAnsi="David" w:cs="David" w:hint="cs"/>
          <w:sz w:val="24"/>
          <w:szCs w:val="24"/>
          <w:rtl/>
        </w:rPr>
      </w:pPr>
      <w:r>
        <w:rPr>
          <w:rFonts w:ascii="David" w:hAnsi="David" w:cs="David" w:hint="cs"/>
          <w:sz w:val="24"/>
          <w:szCs w:val="24"/>
          <w:rtl/>
        </w:rPr>
        <w:t>בס"ד</w:t>
      </w:r>
    </w:p>
    <w:p w14:paraId="7CDFBD54" w14:textId="77777777" w:rsidR="0056386D" w:rsidRDefault="0056386D" w:rsidP="0056386D">
      <w:pPr>
        <w:rPr>
          <w:rFonts w:ascii="David" w:hAnsi="David" w:cs="David"/>
          <w:sz w:val="24"/>
          <w:szCs w:val="24"/>
          <w:rtl/>
        </w:rPr>
      </w:pPr>
      <w:r>
        <w:rPr>
          <w:rFonts w:ascii="David" w:hAnsi="David" w:cs="David" w:hint="cs"/>
          <w:sz w:val="24"/>
          <w:szCs w:val="24"/>
          <w:rtl/>
        </w:rPr>
        <w:t>לכבוד</w:t>
      </w:r>
    </w:p>
    <w:p w14:paraId="7B0F1D0E" w14:textId="1BC68196" w:rsidR="0056386D" w:rsidRDefault="00CC33AB" w:rsidP="00CC33AB">
      <w:pPr>
        <w:rPr>
          <w:rFonts w:ascii="David" w:hAnsi="David" w:cs="David"/>
          <w:sz w:val="24"/>
          <w:szCs w:val="24"/>
          <w:rtl/>
        </w:rPr>
      </w:pPr>
      <w:r>
        <w:rPr>
          <w:rFonts w:ascii="David" w:hAnsi="David" w:cs="David" w:hint="cs"/>
          <w:sz w:val="24"/>
          <w:szCs w:val="24"/>
          <w:rtl/>
        </w:rPr>
        <w:t>משטרת ישראל</w:t>
      </w:r>
    </w:p>
    <w:p w14:paraId="0DDAA25E" w14:textId="77777777" w:rsidR="0056386D" w:rsidRDefault="0056386D" w:rsidP="0056386D">
      <w:pPr>
        <w:rPr>
          <w:rFonts w:ascii="David" w:hAnsi="David" w:cs="David"/>
          <w:sz w:val="24"/>
          <w:szCs w:val="24"/>
          <w:rtl/>
        </w:rPr>
      </w:pPr>
      <w:r>
        <w:rPr>
          <w:rFonts w:ascii="David" w:hAnsi="David" w:cs="David" w:hint="cs"/>
          <w:sz w:val="24"/>
          <w:szCs w:val="24"/>
          <w:rtl/>
        </w:rPr>
        <w:t>שלום רב,</w:t>
      </w:r>
    </w:p>
    <w:p w14:paraId="1793A26E" w14:textId="77777777" w:rsidR="0056386D" w:rsidRDefault="0056386D" w:rsidP="0056386D">
      <w:pPr>
        <w:rPr>
          <w:rFonts w:ascii="David" w:hAnsi="David" w:cs="David" w:hint="cs"/>
          <w:sz w:val="24"/>
          <w:szCs w:val="24"/>
          <w:rtl/>
        </w:rPr>
      </w:pPr>
    </w:p>
    <w:p w14:paraId="15CB04DE" w14:textId="77777777" w:rsidR="0056386D" w:rsidRDefault="0056386D" w:rsidP="0056386D">
      <w:pPr>
        <w:jc w:val="center"/>
        <w:rPr>
          <w:rFonts w:ascii="David" w:hAnsi="David" w:cs="David"/>
          <w:b/>
          <w:bCs/>
          <w:sz w:val="24"/>
          <w:szCs w:val="24"/>
          <w:u w:val="single"/>
          <w:rtl/>
        </w:rPr>
      </w:pPr>
      <w:r w:rsidRPr="0014784F">
        <w:rPr>
          <w:rFonts w:ascii="David" w:hAnsi="David" w:cs="David" w:hint="cs"/>
          <w:b/>
          <w:bCs/>
          <w:sz w:val="24"/>
          <w:szCs w:val="24"/>
          <w:u w:val="single"/>
          <w:rtl/>
        </w:rPr>
        <w:t>הנדון</w:t>
      </w:r>
      <w:r w:rsidRPr="0014784F">
        <w:rPr>
          <w:rFonts w:ascii="David" w:hAnsi="David" w:cs="David"/>
          <w:b/>
          <w:bCs/>
          <w:sz w:val="24"/>
          <w:szCs w:val="24"/>
          <w:u w:val="single"/>
        </w:rPr>
        <w:t>:</w:t>
      </w:r>
      <w:r w:rsidRPr="0014784F">
        <w:rPr>
          <w:rFonts w:ascii="David" w:hAnsi="David" w:cs="David" w:hint="cs"/>
          <w:b/>
          <w:bCs/>
          <w:sz w:val="24"/>
          <w:szCs w:val="24"/>
          <w:u w:val="single"/>
          <w:rtl/>
        </w:rPr>
        <w:t xml:space="preserve"> </w:t>
      </w:r>
      <w:r>
        <w:rPr>
          <w:rFonts w:ascii="David" w:hAnsi="David" w:cs="David" w:hint="cs"/>
          <w:b/>
          <w:bCs/>
          <w:sz w:val="24"/>
          <w:szCs w:val="24"/>
          <w:u w:val="single"/>
          <w:rtl/>
        </w:rPr>
        <w:t>חשד ל</w:t>
      </w:r>
      <w:r w:rsidRPr="0014784F">
        <w:rPr>
          <w:rFonts w:ascii="David" w:hAnsi="David" w:cs="David" w:hint="cs"/>
          <w:b/>
          <w:bCs/>
          <w:sz w:val="24"/>
          <w:szCs w:val="24"/>
          <w:u w:val="single"/>
          <w:rtl/>
        </w:rPr>
        <w:t>פעילות</w:t>
      </w:r>
      <w:r>
        <w:rPr>
          <w:rFonts w:ascii="David" w:hAnsi="David" w:cs="David" w:hint="cs"/>
          <w:b/>
          <w:bCs/>
          <w:sz w:val="24"/>
          <w:szCs w:val="24"/>
          <w:u w:val="single"/>
          <w:rtl/>
        </w:rPr>
        <w:t xml:space="preserve"> עבריינית של אנרכיסטים תושבי מדינות זרות בישראל- תכנית </w:t>
      </w:r>
      <w:r>
        <w:rPr>
          <w:rFonts w:ascii="David" w:hAnsi="David" w:cs="David" w:hint="cs"/>
          <w:b/>
          <w:bCs/>
          <w:sz w:val="24"/>
          <w:szCs w:val="24"/>
          <w:u w:val="single"/>
        </w:rPr>
        <w:t>EAPPI</w:t>
      </w:r>
    </w:p>
    <w:p w14:paraId="28868740" w14:textId="054BFF65" w:rsidR="0056386D" w:rsidRDefault="00CC33AB" w:rsidP="0056386D">
      <w:pPr>
        <w:jc w:val="both"/>
        <w:rPr>
          <w:rFonts w:ascii="David" w:hAnsi="David" w:cs="David"/>
          <w:sz w:val="24"/>
          <w:szCs w:val="24"/>
          <w:rtl/>
        </w:rPr>
      </w:pPr>
      <w:r>
        <w:rPr>
          <w:rFonts w:ascii="David" w:hAnsi="David" w:cs="David" w:hint="cs"/>
          <w:sz w:val="24"/>
          <w:szCs w:val="24"/>
          <w:rtl/>
        </w:rPr>
        <w:t xml:space="preserve">אנו פונים אליכם </w:t>
      </w:r>
      <w:r w:rsidR="0056386D">
        <w:rPr>
          <w:rFonts w:ascii="David" w:hAnsi="David" w:cs="David" w:hint="cs"/>
          <w:sz w:val="24"/>
          <w:szCs w:val="24"/>
          <w:rtl/>
        </w:rPr>
        <w:t>בבקשה למנוע את פעילותו העבריינית של ארגון מועצת הכנסיות העולמיות בישראל ולהעמיד את מפעיליו בישראל לדין בגין העבירות שנוכיח את קיומן במסמך זה.</w:t>
      </w:r>
    </w:p>
    <w:p w14:paraId="4BFF6A7B" w14:textId="77777777" w:rsidR="0056386D" w:rsidRDefault="0056386D" w:rsidP="0056386D">
      <w:pPr>
        <w:jc w:val="both"/>
        <w:rPr>
          <w:rFonts w:cs="Arial"/>
          <w:rtl/>
        </w:rPr>
      </w:pPr>
      <w:r>
        <w:rPr>
          <w:rFonts w:ascii="David" w:hAnsi="David" w:cs="David" w:hint="cs"/>
          <w:sz w:val="24"/>
          <w:szCs w:val="24"/>
          <w:rtl/>
        </w:rPr>
        <w:t xml:space="preserve">ארגון מועצת הכנסיות העולמיות הנו </w:t>
      </w:r>
      <w:r w:rsidRPr="009F70C7">
        <w:rPr>
          <w:rFonts w:cs="Arial"/>
          <w:rtl/>
        </w:rPr>
        <w:t xml:space="preserve">הוא </w:t>
      </w:r>
      <w:r w:rsidRPr="009F70C7">
        <w:rPr>
          <w:rFonts w:ascii="David" w:hAnsi="David" w:cs="David"/>
          <w:sz w:val="24"/>
          <w:szCs w:val="24"/>
          <w:rtl/>
        </w:rPr>
        <w:t xml:space="preserve">איגוד </w:t>
      </w:r>
      <w:r>
        <w:rPr>
          <w:rFonts w:ascii="David" w:hAnsi="David" w:cs="David"/>
          <w:sz w:val="24"/>
          <w:szCs w:val="24"/>
          <w:rtl/>
        </w:rPr>
        <w:t>עולמי של כנסיות שנוסד בשנת 1948</w:t>
      </w:r>
      <w:r>
        <w:rPr>
          <w:rFonts w:ascii="David" w:hAnsi="David" w:cs="David" w:hint="cs"/>
          <w:sz w:val="24"/>
          <w:szCs w:val="24"/>
          <w:rtl/>
        </w:rPr>
        <w:t>,</w:t>
      </w:r>
      <w:r w:rsidRPr="009F70C7">
        <w:rPr>
          <w:rFonts w:ascii="David" w:hAnsi="David" w:cs="David"/>
          <w:sz w:val="24"/>
          <w:szCs w:val="24"/>
          <w:rtl/>
        </w:rPr>
        <w:t xml:space="preserve"> במועצה חברות 349 כנסיות ברחבי העולם, בהן כ-590 מיליון איש. מנהלת המועצה נמצאת במרכז האקומני בז'נבה, שווייץ</w:t>
      </w:r>
      <w:r>
        <w:rPr>
          <w:rStyle w:val="a5"/>
          <w:rFonts w:ascii="David" w:hAnsi="David" w:cs="David"/>
          <w:sz w:val="24"/>
          <w:szCs w:val="24"/>
          <w:rtl/>
        </w:rPr>
        <w:footnoteReference w:id="1"/>
      </w:r>
      <w:r w:rsidRPr="009F70C7">
        <w:rPr>
          <w:rFonts w:ascii="David" w:hAnsi="David" w:cs="David"/>
          <w:sz w:val="24"/>
          <w:szCs w:val="24"/>
          <w:rtl/>
        </w:rPr>
        <w:t>.</w:t>
      </w:r>
    </w:p>
    <w:p w14:paraId="20A4CE6C" w14:textId="77777777" w:rsidR="0056386D" w:rsidRPr="00AA3A66" w:rsidRDefault="0056386D" w:rsidP="0056386D">
      <w:pPr>
        <w:jc w:val="both"/>
        <w:rPr>
          <w:rFonts w:cs="Arial"/>
          <w:rtl/>
        </w:rPr>
      </w:pPr>
      <w:r>
        <w:rPr>
          <w:rFonts w:ascii="David" w:hAnsi="David" w:cs="David" w:hint="cs"/>
          <w:sz w:val="24"/>
          <w:szCs w:val="24"/>
          <w:rtl/>
        </w:rPr>
        <w:t>הארגון חתום על מסמך קיירוס פלסטין</w:t>
      </w:r>
      <w:r>
        <w:rPr>
          <w:rFonts w:hint="cs"/>
          <w:rtl/>
        </w:rPr>
        <w:t xml:space="preserve"> </w:t>
      </w:r>
      <w:r>
        <w:rPr>
          <w:rFonts w:ascii="David" w:hAnsi="David" w:cs="David" w:hint="cs"/>
          <w:sz w:val="24"/>
          <w:szCs w:val="24"/>
          <w:rtl/>
        </w:rPr>
        <w:t>אשר קורא לפעילות חרם על ישראל ובכיריו התבטאו במהלך השנים בצורה שאינה משתמעת לשני פנים כתומכים בחרם על ישראל.</w:t>
      </w:r>
    </w:p>
    <w:p w14:paraId="6D8FC1A0" w14:textId="77777777" w:rsidR="0056386D" w:rsidRDefault="0056386D" w:rsidP="0056386D">
      <w:pPr>
        <w:rPr>
          <w:rFonts w:ascii="David" w:hAnsi="David" w:cs="David"/>
          <w:sz w:val="24"/>
          <w:szCs w:val="24"/>
          <w:rtl/>
        </w:rPr>
      </w:pPr>
      <w:r>
        <w:rPr>
          <w:rFonts w:ascii="David" w:hAnsi="David" w:cs="David" w:hint="cs"/>
          <w:sz w:val="24"/>
          <w:szCs w:val="24"/>
          <w:rtl/>
        </w:rPr>
        <w:t xml:space="preserve">החל משנת 2002 מפעיל הארגון תכנית בישראל המכונה </w:t>
      </w:r>
      <w:r>
        <w:rPr>
          <w:rFonts w:ascii="David" w:hAnsi="David" w:cs="David" w:hint="cs"/>
          <w:sz w:val="24"/>
          <w:szCs w:val="24"/>
        </w:rPr>
        <w:t>EAPPI</w:t>
      </w:r>
      <w:r>
        <w:rPr>
          <w:rFonts w:ascii="David" w:hAnsi="David" w:cs="David" w:hint="cs"/>
          <w:sz w:val="24"/>
          <w:szCs w:val="24"/>
          <w:rtl/>
        </w:rPr>
        <w:t xml:space="preserve">, </w:t>
      </w:r>
      <w:r>
        <w:rPr>
          <w:rFonts w:ascii="David" w:hAnsi="David" w:cs="David"/>
          <w:sz w:val="24"/>
          <w:szCs w:val="24"/>
          <w:rtl/>
        </w:rPr>
        <w:t>ת</w:t>
      </w:r>
      <w:r w:rsidRPr="00CB74BB">
        <w:rPr>
          <w:rFonts w:ascii="David" w:hAnsi="David" w:cs="David"/>
          <w:sz w:val="24"/>
          <w:szCs w:val="24"/>
          <w:rtl/>
        </w:rPr>
        <w:t xml:space="preserve">כנית </w:t>
      </w:r>
      <w:r w:rsidRPr="00CB74BB">
        <w:rPr>
          <w:rFonts w:ascii="David" w:hAnsi="David" w:cs="David"/>
          <w:sz w:val="24"/>
          <w:szCs w:val="24"/>
        </w:rPr>
        <w:t>EAPPI</w:t>
      </w:r>
      <w:r w:rsidRPr="00CB74BB">
        <w:rPr>
          <w:rFonts w:ascii="David" w:hAnsi="David" w:cs="David"/>
          <w:sz w:val="24"/>
          <w:szCs w:val="24"/>
          <w:rtl/>
        </w:rPr>
        <w:t xml:space="preserve"> מוגדרת כפרויקט של מועצת הכנסיות העולמית ומשקפת את האידאולוגיה</w:t>
      </w:r>
      <w:r>
        <w:rPr>
          <w:rFonts w:ascii="David" w:hAnsi="David" w:cs="David" w:hint="cs"/>
          <w:sz w:val="24"/>
          <w:szCs w:val="24"/>
          <w:rtl/>
        </w:rPr>
        <w:t xml:space="preserve"> </w:t>
      </w:r>
      <w:r w:rsidRPr="00CB74BB">
        <w:rPr>
          <w:rFonts w:ascii="David" w:hAnsi="David" w:cs="David"/>
          <w:sz w:val="24"/>
          <w:szCs w:val="24"/>
          <w:rtl/>
        </w:rPr>
        <w:t>והתיאולוגיה של הארגון. אלו כולל</w:t>
      </w:r>
      <w:r>
        <w:rPr>
          <w:rFonts w:ascii="David" w:hAnsi="David" w:cs="David" w:hint="cs"/>
          <w:sz w:val="24"/>
          <w:szCs w:val="24"/>
          <w:rtl/>
        </w:rPr>
        <w:t>ות</w:t>
      </w:r>
      <w:r w:rsidRPr="00CB74BB">
        <w:rPr>
          <w:rFonts w:ascii="David" w:hAnsi="David" w:cs="David"/>
          <w:sz w:val="24"/>
          <w:szCs w:val="24"/>
          <w:rtl/>
        </w:rPr>
        <w:t xml:space="preserve"> תמיכה "בחרם בינלאומי של סחורות ושירותים</w:t>
      </w:r>
      <w:r>
        <w:rPr>
          <w:rFonts w:ascii="David" w:hAnsi="David" w:cs="David" w:hint="cs"/>
          <w:sz w:val="24"/>
          <w:szCs w:val="24"/>
          <w:rtl/>
        </w:rPr>
        <w:t xml:space="preserve"> </w:t>
      </w:r>
      <w:r w:rsidRPr="00CB74BB">
        <w:rPr>
          <w:rFonts w:ascii="David" w:hAnsi="David" w:cs="David"/>
          <w:sz w:val="24"/>
          <w:szCs w:val="24"/>
          <w:rtl/>
        </w:rPr>
        <w:t>מההתנחלויות הישראליות הלא-חוקיות בשטחים הפלסטינים הכבושים", עידוד "כנסיות</w:t>
      </w:r>
      <w:r>
        <w:rPr>
          <w:rFonts w:ascii="David" w:hAnsi="David" w:cs="David" w:hint="cs"/>
          <w:sz w:val="24"/>
          <w:szCs w:val="24"/>
          <w:rtl/>
        </w:rPr>
        <w:t xml:space="preserve"> </w:t>
      </w:r>
      <w:r w:rsidRPr="00CB74BB">
        <w:rPr>
          <w:rFonts w:ascii="David" w:hAnsi="David" w:cs="David"/>
          <w:sz w:val="24"/>
          <w:szCs w:val="24"/>
          <w:rtl/>
        </w:rPr>
        <w:t>חברות להימנע מהשקעות או קשרים כלכליים אחרים לפעילות הלא-חוקית בשטח כבוש", קידום מסמך החרם "קיירוס פלסטין"</w:t>
      </w:r>
      <w:r>
        <w:rPr>
          <w:rFonts w:ascii="David" w:hAnsi="David" w:cs="David" w:hint="cs"/>
          <w:sz w:val="24"/>
          <w:szCs w:val="24"/>
          <w:rtl/>
        </w:rPr>
        <w:t xml:space="preserve"> </w:t>
      </w:r>
      <w:r w:rsidRPr="00CB74BB">
        <w:rPr>
          <w:rFonts w:ascii="David" w:hAnsi="David" w:cs="David"/>
          <w:sz w:val="24"/>
          <w:szCs w:val="24"/>
          <w:rtl/>
        </w:rPr>
        <w:t>משנת 2009 ומלחמה ב"ציונות נוצרית".</w:t>
      </w:r>
      <w:r>
        <w:rPr>
          <w:rStyle w:val="a5"/>
          <w:rFonts w:ascii="David" w:hAnsi="David" w:cs="David"/>
          <w:sz w:val="24"/>
          <w:szCs w:val="24"/>
          <w:rtl/>
        </w:rPr>
        <w:footnoteReference w:id="2"/>
      </w:r>
    </w:p>
    <w:p w14:paraId="3F040066" w14:textId="77777777" w:rsidR="0056386D" w:rsidRDefault="0056386D" w:rsidP="0056386D">
      <w:pPr>
        <w:rPr>
          <w:rFonts w:ascii="David" w:hAnsi="David" w:cs="David"/>
          <w:sz w:val="24"/>
          <w:szCs w:val="24"/>
          <w:rtl/>
        </w:rPr>
      </w:pPr>
      <w:r>
        <w:rPr>
          <w:rFonts w:ascii="David" w:hAnsi="David" w:cs="David" w:hint="cs"/>
          <w:sz w:val="24"/>
          <w:szCs w:val="24"/>
          <w:rtl/>
        </w:rPr>
        <w:t>משרדי התכנית ממוקמים בעיר העתיקה בירושלים. התכנית שולחת מתנדבים לישראל ומטרתה היא הוצאת דיבת ישראל בעולם, וזאת על ידי הצטרפות לפעילות עבריינית של אנרכיסטים מקומיים. פעילי התכנית מתעדים את חיילי צה"ל בפעילותם בשטחי יו"ש וירושלים ואת טיפולם בעימותים הנגרמים על האנרכיסטים המקומיים. הפעילים מחויבים על פי התכנית לפרסם בלוגים, מאמרים, הרצאות בהם הם מפרסמים פרסומים חתוכים וערוכים על התנהלות חיילי צה"ל אשר מציגה אותם בצורה שלילית, במקרים מסוימים אף נראה כי הפעילים אף תיעדו פעילויות חשאיות של הצבא אשר אסורות בתיעוד והפיצו זאת בעולם. בנוסף לזאת משמשים החומרים לדוחות שונים אשר מועברים גם לאו"ם ולאיחוד האירופי (להלן נספח א).</w:t>
      </w:r>
    </w:p>
    <w:p w14:paraId="17902AD7" w14:textId="77777777" w:rsidR="0056386D" w:rsidRDefault="0056386D" w:rsidP="0056386D">
      <w:pPr>
        <w:jc w:val="both"/>
        <w:rPr>
          <w:rFonts w:ascii="David" w:hAnsi="David" w:cs="David"/>
          <w:sz w:val="24"/>
          <w:szCs w:val="24"/>
          <w:rtl/>
        </w:rPr>
      </w:pPr>
      <w:r>
        <w:rPr>
          <w:rFonts w:ascii="David" w:hAnsi="David" w:cs="David" w:hint="cs"/>
          <w:sz w:val="24"/>
          <w:szCs w:val="24"/>
          <w:rtl/>
        </w:rPr>
        <w:t>המקרים האחרונים של פעילות האנרכיסטים ביו"ש בהן הותקפו אזרחים וחיילי צה"ל ונגרם נזק בנפש ורכוש מראים כי תופעה זו היא בעייתית ורחבה אשר דורשת טיפול מיידי, פעילי התכנית משתפים פעולה גם עם גורמים הקשורים לארגוני טרור ועם מחבלים משוחררים (להלן נספח ב).</w:t>
      </w:r>
    </w:p>
    <w:p w14:paraId="10C82F28" w14:textId="77777777" w:rsidR="0056386D" w:rsidRDefault="0056386D" w:rsidP="0056386D">
      <w:pPr>
        <w:jc w:val="both"/>
        <w:rPr>
          <w:rFonts w:ascii="David" w:hAnsi="David" w:cs="David"/>
          <w:sz w:val="24"/>
          <w:szCs w:val="24"/>
          <w:rtl/>
        </w:rPr>
      </w:pPr>
      <w:r>
        <w:rPr>
          <w:rFonts w:ascii="David" w:hAnsi="David" w:cs="David" w:hint="cs"/>
          <w:sz w:val="24"/>
          <w:szCs w:val="24"/>
          <w:rtl/>
        </w:rPr>
        <w:lastRenderedPageBreak/>
        <w:t>מהנתונים שנביא להלן עולה בצורה חד משמעית כי פעילות התכנית אינה עומדת בקנה אחד עם החוק ולפיכך על מדינת ישראל עומדת החובה למנוע פעילות זו בשטחה ולהעמיד את האחראים לדין.</w:t>
      </w:r>
    </w:p>
    <w:p w14:paraId="6AC5DC15" w14:textId="77777777" w:rsidR="0056386D" w:rsidRDefault="0056386D" w:rsidP="0056386D">
      <w:pPr>
        <w:jc w:val="both"/>
        <w:rPr>
          <w:rFonts w:ascii="David" w:hAnsi="David" w:cs="David"/>
          <w:b/>
          <w:bCs/>
          <w:sz w:val="24"/>
          <w:szCs w:val="24"/>
          <w:rtl/>
        </w:rPr>
      </w:pPr>
    </w:p>
    <w:p w14:paraId="43990791" w14:textId="77777777" w:rsidR="0056386D" w:rsidRPr="002B63D8" w:rsidRDefault="0056386D" w:rsidP="0056386D">
      <w:pPr>
        <w:jc w:val="both"/>
        <w:rPr>
          <w:rFonts w:ascii="David" w:hAnsi="David" w:cs="David" w:hint="cs"/>
          <w:b/>
          <w:bCs/>
          <w:sz w:val="24"/>
          <w:szCs w:val="24"/>
          <w:rtl/>
        </w:rPr>
      </w:pPr>
      <w:r w:rsidRPr="002B63D8">
        <w:rPr>
          <w:rFonts w:ascii="David" w:hAnsi="David" w:cs="David" w:hint="cs"/>
          <w:b/>
          <w:bCs/>
          <w:sz w:val="24"/>
          <w:szCs w:val="24"/>
          <w:rtl/>
        </w:rPr>
        <w:t>עבירה על חוק הכניסה לישראל:</w:t>
      </w:r>
    </w:p>
    <w:p w14:paraId="60C41BEB" w14:textId="77777777" w:rsidR="0056386D" w:rsidRDefault="0056386D" w:rsidP="0056386D">
      <w:pPr>
        <w:jc w:val="both"/>
        <w:rPr>
          <w:rFonts w:ascii="David" w:hAnsi="David" w:cs="David"/>
          <w:sz w:val="24"/>
          <w:szCs w:val="24"/>
          <w:rtl/>
        </w:rPr>
      </w:pPr>
      <w:r>
        <w:rPr>
          <w:rFonts w:ascii="David" w:hAnsi="David" w:cs="David" w:hint="cs"/>
          <w:sz w:val="24"/>
          <w:szCs w:val="24"/>
          <w:rtl/>
        </w:rPr>
        <w:t>חוק הכניסה לישראל סעיף 2 (ד) (תיקון 28) קובע כי</w:t>
      </w:r>
      <w:r>
        <w:rPr>
          <w:rStyle w:val="a5"/>
          <w:rFonts w:ascii="David" w:hAnsi="David" w:cs="David"/>
          <w:sz w:val="24"/>
          <w:szCs w:val="24"/>
          <w:rtl/>
        </w:rPr>
        <w:footnoteReference w:id="3"/>
      </w:r>
      <w:r>
        <w:rPr>
          <w:rFonts w:ascii="David" w:hAnsi="David" w:cs="David" w:hint="cs"/>
          <w:sz w:val="24"/>
          <w:szCs w:val="24"/>
          <w:rtl/>
        </w:rPr>
        <w:t>:</w:t>
      </w:r>
    </w:p>
    <w:p w14:paraId="5E6FE2D5" w14:textId="77777777" w:rsidR="0056386D" w:rsidRDefault="0056386D" w:rsidP="0056386D">
      <w:pPr>
        <w:jc w:val="both"/>
        <w:rPr>
          <w:rFonts w:ascii="David" w:hAnsi="David" w:cs="David"/>
          <w:sz w:val="24"/>
          <w:szCs w:val="24"/>
          <w:rtl/>
        </w:rPr>
      </w:pPr>
      <w:r>
        <w:rPr>
          <w:rFonts w:ascii="FrankRuehl" w:hAnsi="FrankRuehl" w:cs="FrankRuehl"/>
          <w:color w:val="000000"/>
          <w:sz w:val="26"/>
          <w:szCs w:val="26"/>
        </w:rPr>
        <w:t> </w:t>
      </w:r>
      <w:r w:rsidRPr="00B9154A">
        <w:rPr>
          <w:rFonts w:ascii="FrankRuehl" w:hAnsi="FrankRuehl" w:cs="FrankRuehl"/>
          <w:b/>
          <w:bCs/>
          <w:color w:val="000000"/>
          <w:sz w:val="26"/>
          <w:szCs w:val="26"/>
          <w:rtl/>
        </w:rPr>
        <w:t>לא יינתנו אשרה ורישיון ישיבה מכל סוג שהוא, לאדם שאינו אזרח ישראלי או בעל רישיון לישיבת קבע במדינת ישראל,</w:t>
      </w:r>
      <w:r>
        <w:rPr>
          <w:rFonts w:ascii="FrankRuehl" w:hAnsi="FrankRuehl" w:cs="FrankRuehl"/>
          <w:color w:val="000000"/>
          <w:sz w:val="26"/>
          <w:szCs w:val="26"/>
          <w:rtl/>
        </w:rPr>
        <w:t xml:space="preserve"> אם הוא, </w:t>
      </w:r>
      <w:r w:rsidRPr="00B9154A">
        <w:rPr>
          <w:rFonts w:ascii="FrankRuehl" w:hAnsi="FrankRuehl" w:cs="FrankRuehl"/>
          <w:b/>
          <w:bCs/>
          <w:color w:val="000000"/>
          <w:sz w:val="26"/>
          <w:szCs w:val="26"/>
          <w:rtl/>
        </w:rPr>
        <w:t>הארגון או הגוף שהוא פועל בעבורם, פרסם ביודעין קריאה פומבית להטלת חרם על מדינת ישראל,</w:t>
      </w:r>
      <w:r>
        <w:rPr>
          <w:rFonts w:ascii="FrankRuehl" w:hAnsi="FrankRuehl" w:cs="FrankRuehl"/>
          <w:color w:val="000000"/>
          <w:sz w:val="26"/>
          <w:szCs w:val="26"/>
          <w:rtl/>
        </w:rPr>
        <w:t xml:space="preserve"> כהגדרתו בחוק למניעת פגיעה במדינת ישראל באמצעות חרם, התשע"א-2011, או התחייב להשתתף בחרם כאמור</w:t>
      </w:r>
      <w:r>
        <w:rPr>
          <w:rFonts w:ascii="FrankRuehl" w:hAnsi="FrankRuehl" w:cs="FrankRuehl"/>
          <w:color w:val="000000"/>
          <w:sz w:val="26"/>
          <w:szCs w:val="26"/>
        </w:rPr>
        <w:t>.</w:t>
      </w:r>
    </w:p>
    <w:p w14:paraId="055DE4C4" w14:textId="77777777" w:rsidR="0056386D" w:rsidRDefault="0056386D" w:rsidP="0056386D">
      <w:pPr>
        <w:jc w:val="both"/>
        <w:rPr>
          <w:rFonts w:ascii="David" w:hAnsi="David" w:cs="David"/>
          <w:sz w:val="24"/>
          <w:szCs w:val="24"/>
          <w:rtl/>
        </w:rPr>
      </w:pPr>
      <w:r>
        <w:rPr>
          <w:rFonts w:ascii="David" w:hAnsi="David" w:cs="David" w:hint="cs"/>
          <w:sz w:val="24"/>
          <w:szCs w:val="24"/>
          <w:rtl/>
        </w:rPr>
        <w:t>כפי שניתן לראות החוק קובע בצורה מפורשת כי לא תתאפשר כניסה למדינת ישראל של אדם או ארגון אשר קורא לחרם על מדינת ישראל ואינו אזרח ישראל.</w:t>
      </w:r>
    </w:p>
    <w:p w14:paraId="7E1DEF71" w14:textId="77777777" w:rsidR="0056386D" w:rsidRDefault="0056386D" w:rsidP="0056386D">
      <w:pPr>
        <w:jc w:val="both"/>
        <w:rPr>
          <w:rFonts w:ascii="David" w:hAnsi="David" w:cs="David"/>
          <w:sz w:val="24"/>
          <w:szCs w:val="24"/>
          <w:rtl/>
        </w:rPr>
      </w:pPr>
      <w:r>
        <w:rPr>
          <w:rFonts w:ascii="David" w:hAnsi="David" w:cs="David" w:hint="cs"/>
          <w:sz w:val="24"/>
          <w:szCs w:val="24"/>
          <w:rtl/>
        </w:rPr>
        <w:t>מועצת הכנסיות העולמיות פועלת בעקביות לחרם על מדינת ישראל, היא חתומה על מסמך קיירוס פלסטין ופעילים בכירים בה התבטאו בעד החרם על מדינת ישראל (להלן נספח ג') ולו רק בשל כך על מדינת ישראל לאסור את כניסת פעיליה לארץ.</w:t>
      </w:r>
    </w:p>
    <w:p w14:paraId="5D77C3C0"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נראה כי מועצת הכנסיות העולמיות מודעת היטב לבעיה זו ולכן היא בוחרת לשלוח את פעיליה (אשר היא מממנת את שהותם) תחת מסווה של תיירים (אשרה ב/2) על אף שפעילותם היא פעילות מאורגנת אשר חייבת באשרה מיוחדת לכניסה לישראל. </w:t>
      </w:r>
    </w:p>
    <w:p w14:paraId="569D86C6" w14:textId="77777777" w:rsidR="0056386D" w:rsidRDefault="0056386D" w:rsidP="0056386D">
      <w:pPr>
        <w:jc w:val="both"/>
        <w:rPr>
          <w:rFonts w:ascii="David" w:hAnsi="David" w:cs="David"/>
          <w:sz w:val="24"/>
          <w:szCs w:val="24"/>
          <w:rtl/>
        </w:rPr>
      </w:pPr>
      <w:r>
        <w:rPr>
          <w:rFonts w:ascii="David" w:hAnsi="David" w:cs="David" w:hint="cs"/>
          <w:sz w:val="24"/>
          <w:szCs w:val="24"/>
          <w:rtl/>
        </w:rPr>
        <w:t>חוקי ההגירה בישראל מאוד ברורים: על המבקש לעבוד בישראל להגיש בקשה לאשרת ב/</w:t>
      </w:r>
      <w:r>
        <w:rPr>
          <w:rStyle w:val="a5"/>
          <w:rFonts w:ascii="David" w:hAnsi="David" w:cs="David"/>
          <w:sz w:val="24"/>
          <w:szCs w:val="24"/>
          <w:rtl/>
        </w:rPr>
        <w:footnoteReference w:id="4"/>
      </w:r>
      <w:r>
        <w:rPr>
          <w:rFonts w:ascii="David" w:hAnsi="David" w:cs="David" w:hint="cs"/>
          <w:sz w:val="24"/>
          <w:szCs w:val="24"/>
          <w:rtl/>
        </w:rPr>
        <w:t>1, ועל המבקש להתנדב להגיש בקשה לאשרת ב/4</w:t>
      </w:r>
      <w:r>
        <w:rPr>
          <w:rStyle w:val="a5"/>
          <w:rFonts w:ascii="David" w:hAnsi="David" w:cs="David"/>
          <w:sz w:val="24"/>
          <w:szCs w:val="24"/>
          <w:rtl/>
        </w:rPr>
        <w:footnoteReference w:id="5"/>
      </w:r>
      <w:r>
        <w:rPr>
          <w:rFonts w:ascii="David" w:hAnsi="David" w:cs="David" w:hint="cs"/>
          <w:sz w:val="24"/>
          <w:szCs w:val="24"/>
          <w:rtl/>
        </w:rPr>
        <w:t xml:space="preserve">. </w:t>
      </w:r>
    </w:p>
    <w:p w14:paraId="74483497" w14:textId="77777777" w:rsidR="0056386D" w:rsidRDefault="0056386D" w:rsidP="0056386D">
      <w:pPr>
        <w:jc w:val="both"/>
        <w:rPr>
          <w:rFonts w:ascii="David" w:hAnsi="David" w:cs="David"/>
          <w:sz w:val="24"/>
          <w:szCs w:val="24"/>
          <w:rtl/>
        </w:rPr>
      </w:pPr>
      <w:r>
        <w:rPr>
          <w:rFonts w:ascii="David" w:hAnsi="David" w:cs="David" w:hint="cs"/>
          <w:sz w:val="24"/>
          <w:szCs w:val="24"/>
          <w:rtl/>
        </w:rPr>
        <w:t>מעת שמדובר בפעילות מאורגנת - כפעילות התכנית - על מפעילי התכנית חלה החובה להגיש בקשה מסודרת לפעילות התנדבותית בישראל ולעמוד בקריטריונים אשר נקבעו לכך:</w:t>
      </w:r>
    </w:p>
    <w:p w14:paraId="11167CD2"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 1. כי על הארגון להיות </w:t>
      </w:r>
      <w:r>
        <w:rPr>
          <w:rFonts w:ascii="David" w:hAnsi="David" w:cs="David"/>
          <w:sz w:val="24"/>
          <w:szCs w:val="24"/>
          <w:rtl/>
        </w:rPr>
        <w:t>נטול מעורבות פוליטית ודתית</w:t>
      </w:r>
      <w:r>
        <w:rPr>
          <w:rFonts w:ascii="David" w:hAnsi="David" w:cs="David" w:hint="cs"/>
          <w:sz w:val="24"/>
          <w:szCs w:val="24"/>
          <w:rtl/>
        </w:rPr>
        <w:t>.</w:t>
      </w:r>
    </w:p>
    <w:p w14:paraId="26BF306C"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 2. </w:t>
      </w:r>
      <w:r w:rsidRPr="00921A19">
        <w:rPr>
          <w:rFonts w:ascii="David" w:hAnsi="David" w:cs="David"/>
          <w:sz w:val="24"/>
          <w:szCs w:val="24"/>
          <w:rtl/>
        </w:rPr>
        <w:t>להצהיר כי הוא מכיר בקיומה ובריבונותה של מדינת ישראל ולקבל את כללי הפיקוח ונהלי העבודה באשר להפעלת מתנדבים בישראל של משרד העבודה, הרווחה והשירותים החברתיים.</w:t>
      </w:r>
      <w:r>
        <w:rPr>
          <w:rFonts w:ascii="David" w:hAnsi="David" w:cs="David" w:hint="cs"/>
          <w:sz w:val="24"/>
          <w:szCs w:val="24"/>
          <w:rtl/>
        </w:rPr>
        <w:t xml:space="preserve"> </w:t>
      </w:r>
    </w:p>
    <w:p w14:paraId="0FB1788D" w14:textId="77777777" w:rsidR="0056386D" w:rsidRDefault="0056386D" w:rsidP="0056386D">
      <w:pPr>
        <w:jc w:val="both"/>
        <w:rPr>
          <w:rFonts w:ascii="David" w:hAnsi="David" w:cs="David"/>
          <w:sz w:val="24"/>
          <w:szCs w:val="24"/>
          <w:rtl/>
        </w:rPr>
      </w:pPr>
      <w:r>
        <w:rPr>
          <w:rFonts w:ascii="David" w:hAnsi="David" w:cs="David" w:hint="cs"/>
          <w:sz w:val="24"/>
          <w:szCs w:val="24"/>
          <w:rtl/>
        </w:rPr>
        <w:t>מהנתונים לעיל עולה בבירור כי הארגון אינו עומד בקריטריונים אלו, הארגון פועל להכניס את הפעילים לארץ בצורה ספורדית תוך הסתרה של מטרת ההגעה האמיתית לארץ, הפעילים מונחים להסתיר כי הם באים לפעול בארגון ולכן עולה החשד כי השימוש בבקשת תייר אינו בטעות, אלא מדובר במרמה שיטתית ומאורגנת להערים על רשויות ההגירה של מדינת ישראל.</w:t>
      </w:r>
    </w:p>
    <w:p w14:paraId="266A807B" w14:textId="77777777" w:rsidR="0056386D" w:rsidRDefault="0056386D" w:rsidP="0056386D">
      <w:pPr>
        <w:jc w:val="both"/>
        <w:rPr>
          <w:rFonts w:ascii="David" w:hAnsi="David" w:cs="David"/>
          <w:sz w:val="24"/>
          <w:szCs w:val="24"/>
          <w:rtl/>
        </w:rPr>
      </w:pPr>
      <w:r>
        <w:rPr>
          <w:rFonts w:ascii="David" w:hAnsi="David" w:cs="David" w:hint="cs"/>
          <w:sz w:val="24"/>
          <w:szCs w:val="24"/>
          <w:rtl/>
        </w:rPr>
        <w:t>חוק הכניסה לישראל סעיף 12 קובע כי</w:t>
      </w:r>
      <w:r>
        <w:rPr>
          <w:rStyle w:val="a5"/>
          <w:rFonts w:ascii="David" w:hAnsi="David" w:cs="David"/>
          <w:sz w:val="24"/>
          <w:szCs w:val="24"/>
          <w:rtl/>
        </w:rPr>
        <w:footnoteReference w:id="6"/>
      </w:r>
      <w:r>
        <w:rPr>
          <w:rFonts w:ascii="David" w:hAnsi="David" w:cs="David" w:hint="cs"/>
          <w:sz w:val="24"/>
          <w:szCs w:val="24"/>
          <w:rtl/>
        </w:rPr>
        <w:t xml:space="preserve">: </w:t>
      </w:r>
    </w:p>
    <w:p w14:paraId="5ECFBE8E" w14:textId="77777777" w:rsidR="0056386D" w:rsidRDefault="0056386D" w:rsidP="0056386D">
      <w:pPr>
        <w:pStyle w:val="p00"/>
        <w:bidi/>
        <w:spacing w:before="72" w:beforeAutospacing="0" w:after="0" w:afterAutospacing="0"/>
        <w:ind w:right="1134"/>
        <w:jc w:val="both"/>
        <w:rPr>
          <w:color w:val="000000"/>
          <w:sz w:val="20"/>
          <w:szCs w:val="20"/>
        </w:rPr>
      </w:pPr>
      <w:r>
        <w:rPr>
          <w:rStyle w:val="default"/>
          <w:rFonts w:ascii="FrankRuehl" w:hAnsi="FrankRuehl" w:cs="FrankRuehl"/>
          <w:color w:val="000000"/>
          <w:sz w:val="26"/>
          <w:szCs w:val="26"/>
          <w:rtl/>
        </w:rPr>
        <w:lastRenderedPageBreak/>
        <w:t>העושה אחת מאלה:</w:t>
      </w:r>
    </w:p>
    <w:p w14:paraId="62CE3F8D" w14:textId="77777777" w:rsidR="0056386D" w:rsidRDefault="0056386D" w:rsidP="0056386D">
      <w:pPr>
        <w:pStyle w:val="p22"/>
        <w:bidi/>
        <w:spacing w:before="72" w:beforeAutospacing="0" w:after="0" w:afterAutospacing="0"/>
        <w:ind w:left="624" w:right="1134"/>
        <w:jc w:val="both"/>
        <w:rPr>
          <w:color w:val="000000"/>
          <w:sz w:val="20"/>
          <w:szCs w:val="20"/>
          <w:rtl/>
        </w:rPr>
      </w:pPr>
      <w:r>
        <w:rPr>
          <w:rStyle w:val="default"/>
          <w:rFonts w:ascii="FrankRuehl" w:hAnsi="FrankRuehl" w:cs="FrankRuehl"/>
          <w:color w:val="000000"/>
          <w:sz w:val="26"/>
          <w:szCs w:val="26"/>
          <w:rtl/>
        </w:rPr>
        <w:t>(1)  נכנס לישראל, או יושב בה, בניגוד לחוק;</w:t>
      </w:r>
    </w:p>
    <w:p w14:paraId="1D68E8A1" w14:textId="77777777" w:rsidR="0056386D" w:rsidRDefault="0056386D" w:rsidP="0056386D">
      <w:pPr>
        <w:pStyle w:val="p22"/>
        <w:bidi/>
        <w:spacing w:before="72" w:beforeAutospacing="0" w:after="0" w:afterAutospacing="0"/>
        <w:ind w:left="624" w:right="1134"/>
        <w:jc w:val="both"/>
        <w:rPr>
          <w:color w:val="000000"/>
          <w:sz w:val="20"/>
          <w:szCs w:val="20"/>
          <w:rtl/>
        </w:rPr>
      </w:pPr>
      <w:r>
        <w:rPr>
          <w:rStyle w:val="default"/>
          <w:rFonts w:ascii="FrankRuehl" w:hAnsi="FrankRuehl" w:cs="FrankRuehl"/>
          <w:color w:val="000000"/>
          <w:sz w:val="26"/>
          <w:szCs w:val="26"/>
          <w:rtl/>
        </w:rPr>
        <w:t>(2)  נותן ידיעה כוזבת כדי להשיג, לעצמו או לאחר, אשרה לישראל או רשיון לישיבה בה;</w:t>
      </w:r>
    </w:p>
    <w:p w14:paraId="5CB12B3F" w14:textId="77777777" w:rsidR="0056386D" w:rsidRDefault="0056386D" w:rsidP="0056386D">
      <w:pPr>
        <w:pStyle w:val="p22"/>
        <w:bidi/>
        <w:spacing w:before="72" w:beforeAutospacing="0" w:after="0" w:afterAutospacing="0"/>
        <w:ind w:left="624" w:right="1134"/>
        <w:jc w:val="both"/>
        <w:rPr>
          <w:color w:val="000000"/>
          <w:sz w:val="20"/>
          <w:szCs w:val="20"/>
          <w:rtl/>
        </w:rPr>
      </w:pPr>
      <w:r>
        <w:rPr>
          <w:rStyle w:val="default"/>
          <w:rFonts w:ascii="FrankRuehl" w:hAnsi="FrankRuehl" w:cs="FrankRuehl"/>
          <w:color w:val="000000"/>
          <w:sz w:val="26"/>
          <w:szCs w:val="26"/>
          <w:rtl/>
        </w:rPr>
        <w:t>(3)  מפר תנאי מהתנאים שנקבעו באשרתו או ברשיון הישיבה שניתנו לו לפי חוק זה:</w:t>
      </w:r>
    </w:p>
    <w:p w14:paraId="13D50A06" w14:textId="77777777" w:rsidR="0056386D" w:rsidRDefault="0056386D" w:rsidP="0056386D">
      <w:pPr>
        <w:pStyle w:val="p22"/>
        <w:bidi/>
        <w:spacing w:before="72" w:beforeAutospacing="0" w:after="0" w:afterAutospacing="0"/>
        <w:ind w:left="624" w:right="1134"/>
        <w:jc w:val="both"/>
        <w:rPr>
          <w:b/>
          <w:bCs/>
          <w:color w:val="000000"/>
          <w:sz w:val="20"/>
          <w:szCs w:val="20"/>
          <w:rtl/>
        </w:rPr>
      </w:pPr>
      <w:r>
        <w:rPr>
          <w:rFonts w:ascii="FrankRuehl" w:hAnsi="FrankRuehl" w:cs="FrankRuehl"/>
          <w:color w:val="000000"/>
          <w:sz w:val="26"/>
          <w:szCs w:val="26"/>
        </w:rPr>
        <w:t xml:space="preserve">(4)  </w:t>
      </w:r>
      <w:r>
        <w:rPr>
          <w:rFonts w:ascii="FrankRuehl" w:hAnsi="FrankRuehl" w:cs="FrankRuehl"/>
          <w:color w:val="000000"/>
          <w:sz w:val="26"/>
          <w:szCs w:val="26"/>
          <w:rtl/>
        </w:rPr>
        <w:t xml:space="preserve">עובר על הוראה אחרת של חוק זה או של תקנות שהותקנו על פיו, </w:t>
      </w:r>
      <w:r w:rsidRPr="00921A19">
        <w:rPr>
          <w:rFonts w:ascii="FrankRuehl" w:hAnsi="FrankRuehl" w:cs="FrankRuehl"/>
          <w:b/>
          <w:bCs/>
          <w:color w:val="000000"/>
          <w:sz w:val="26"/>
          <w:szCs w:val="26"/>
          <w:rtl/>
        </w:rPr>
        <w:t>דינו – מאסר שנה</w:t>
      </w:r>
      <w:r w:rsidRPr="00921A19">
        <w:rPr>
          <w:rFonts w:ascii="FrankRuehl" w:hAnsi="FrankRuehl" w:cs="FrankRuehl"/>
          <w:b/>
          <w:bCs/>
          <w:color w:val="000000"/>
          <w:sz w:val="26"/>
          <w:szCs w:val="26"/>
        </w:rPr>
        <w:t>.</w:t>
      </w:r>
    </w:p>
    <w:p w14:paraId="6EEE3E80" w14:textId="77777777" w:rsidR="0056386D" w:rsidRPr="00921A19" w:rsidRDefault="0056386D" w:rsidP="0056386D">
      <w:pPr>
        <w:pStyle w:val="p22"/>
        <w:bidi/>
        <w:spacing w:before="72" w:beforeAutospacing="0" w:after="0" w:afterAutospacing="0"/>
        <w:ind w:left="624" w:right="1134"/>
        <w:jc w:val="both"/>
        <w:rPr>
          <w:b/>
          <w:bCs/>
          <w:color w:val="000000"/>
          <w:sz w:val="20"/>
          <w:szCs w:val="20"/>
          <w:rtl/>
        </w:rPr>
      </w:pPr>
    </w:p>
    <w:p w14:paraId="44E0A8CA"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כפי שניתן לראות במעשיהם עוברים פעילי </w:t>
      </w:r>
      <w:r>
        <w:rPr>
          <w:rFonts w:ascii="David" w:hAnsi="David" w:cs="David"/>
          <w:sz w:val="24"/>
          <w:szCs w:val="24"/>
        </w:rPr>
        <w:t>EAPPI</w:t>
      </w:r>
      <w:r>
        <w:rPr>
          <w:rFonts w:ascii="David" w:hAnsi="David" w:cs="David" w:hint="cs"/>
          <w:sz w:val="24"/>
          <w:szCs w:val="24"/>
          <w:rtl/>
        </w:rPr>
        <w:t xml:space="preserve"> על סעיפי החוק: הם נותנים ידיעה כוזבת לצורך קבלת אשרה ומפרים את תנאי האשרה שניתנו להם על פי חוק, ולפיכך החוק קובע כי מדובר בעבירה פלילית אשר דינה שנה מאסר.</w:t>
      </w:r>
    </w:p>
    <w:p w14:paraId="79B8239F" w14:textId="77777777" w:rsidR="0056386D" w:rsidRDefault="0056386D" w:rsidP="0056386D">
      <w:pPr>
        <w:jc w:val="both"/>
        <w:rPr>
          <w:rFonts w:ascii="David" w:hAnsi="David" w:cs="David"/>
          <w:sz w:val="24"/>
          <w:szCs w:val="24"/>
          <w:rtl/>
        </w:rPr>
      </w:pPr>
    </w:p>
    <w:p w14:paraId="283B8D97" w14:textId="77777777" w:rsidR="0056386D" w:rsidRPr="002B63D8" w:rsidRDefault="0056386D" w:rsidP="0056386D">
      <w:pPr>
        <w:jc w:val="both"/>
        <w:rPr>
          <w:rFonts w:ascii="David" w:hAnsi="David" w:cs="David"/>
          <w:b/>
          <w:bCs/>
          <w:sz w:val="24"/>
          <w:szCs w:val="24"/>
          <w:rtl/>
        </w:rPr>
      </w:pPr>
      <w:r w:rsidRPr="002B63D8">
        <w:rPr>
          <w:rFonts w:ascii="David" w:hAnsi="David" w:cs="David" w:hint="cs"/>
          <w:b/>
          <w:bCs/>
          <w:sz w:val="24"/>
          <w:szCs w:val="24"/>
          <w:rtl/>
        </w:rPr>
        <w:t>הפרעה לשוטר בעת מילוי תפקידו:</w:t>
      </w:r>
    </w:p>
    <w:p w14:paraId="0FB39307"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חוק העונשין סעיף </w:t>
      </w:r>
      <w:r>
        <w:rPr>
          <w:rStyle w:val="a5"/>
          <w:rFonts w:ascii="David" w:hAnsi="David" w:cs="David"/>
          <w:sz w:val="24"/>
          <w:szCs w:val="24"/>
          <w:rtl/>
        </w:rPr>
        <w:footnoteReference w:id="7"/>
      </w:r>
      <w:r>
        <w:rPr>
          <w:rFonts w:ascii="David" w:hAnsi="David" w:cs="David" w:hint="cs"/>
          <w:sz w:val="24"/>
          <w:szCs w:val="24"/>
          <w:rtl/>
        </w:rPr>
        <w:t xml:space="preserve">275 קובע כי: </w:t>
      </w:r>
    </w:p>
    <w:p w14:paraId="771C3DB8" w14:textId="77777777" w:rsidR="0056386D" w:rsidRPr="002B63D8" w:rsidRDefault="0056386D" w:rsidP="0056386D">
      <w:pPr>
        <w:shd w:val="clear" w:color="auto" w:fill="FFFFFF"/>
        <w:spacing w:after="24" w:line="240" w:lineRule="auto"/>
        <w:ind w:left="720" w:right="384"/>
        <w:rPr>
          <w:rFonts w:ascii="FrankRuehl" w:eastAsia="Times New Roman" w:hAnsi="FrankRuehl" w:cs="FrankRuehl"/>
          <w:color w:val="222222"/>
          <w:sz w:val="26"/>
          <w:szCs w:val="26"/>
        </w:rPr>
      </w:pPr>
      <w:r w:rsidRPr="002B63D8">
        <w:rPr>
          <w:rFonts w:ascii="FrankRuehl" w:eastAsia="Times New Roman" w:hAnsi="FrankRuehl" w:cs="FrankRuehl"/>
          <w:color w:val="222222"/>
          <w:sz w:val="26"/>
          <w:szCs w:val="26"/>
          <w:rtl/>
        </w:rPr>
        <w:t>העושה מעשה בכוונה להפריע לשוטר כשהוא ממלא תפקידו כחוק</w:t>
      </w:r>
    </w:p>
    <w:p w14:paraId="1178B54E" w14:textId="77777777" w:rsidR="0056386D" w:rsidRPr="002B63D8" w:rsidRDefault="0056386D" w:rsidP="0056386D">
      <w:pPr>
        <w:shd w:val="clear" w:color="auto" w:fill="FFFFFF"/>
        <w:spacing w:after="24" w:line="240" w:lineRule="auto"/>
        <w:ind w:left="720" w:right="384"/>
        <w:rPr>
          <w:rFonts w:ascii="FrankRuehl" w:eastAsia="Times New Roman" w:hAnsi="FrankRuehl" w:cs="FrankRuehl"/>
          <w:color w:val="222222"/>
          <w:sz w:val="26"/>
          <w:szCs w:val="26"/>
        </w:rPr>
      </w:pPr>
      <w:r w:rsidRPr="002B63D8">
        <w:rPr>
          <w:rFonts w:ascii="FrankRuehl" w:eastAsia="Times New Roman" w:hAnsi="FrankRuehl" w:cs="FrankRuehl"/>
          <w:color w:val="222222"/>
          <w:sz w:val="26"/>
          <w:szCs w:val="26"/>
          <w:rtl/>
        </w:rPr>
        <w:t>או להכשילו בכך</w:t>
      </w:r>
      <w:r w:rsidRPr="002B63D8">
        <w:rPr>
          <w:rFonts w:ascii="FrankRuehl" w:eastAsia="Times New Roman" w:hAnsi="FrankRuehl" w:cs="FrankRuehl"/>
          <w:color w:val="222222"/>
          <w:sz w:val="26"/>
          <w:szCs w:val="26"/>
        </w:rPr>
        <w:t>,</w:t>
      </w:r>
    </w:p>
    <w:p w14:paraId="5ED035BE" w14:textId="77777777" w:rsidR="0056386D" w:rsidRPr="002B63D8" w:rsidRDefault="0056386D" w:rsidP="0056386D">
      <w:pPr>
        <w:shd w:val="clear" w:color="auto" w:fill="FFFFFF"/>
        <w:spacing w:after="24" w:line="240" w:lineRule="auto"/>
        <w:ind w:left="720" w:right="384"/>
        <w:rPr>
          <w:rFonts w:ascii="FrankRuehl" w:eastAsia="Times New Roman" w:hAnsi="FrankRuehl" w:cs="FrankRuehl"/>
          <w:color w:val="222222"/>
          <w:sz w:val="26"/>
          <w:szCs w:val="26"/>
        </w:rPr>
      </w:pPr>
      <w:r w:rsidRPr="002B63D8">
        <w:rPr>
          <w:rFonts w:ascii="FrankRuehl" w:eastAsia="Times New Roman" w:hAnsi="FrankRuehl" w:cs="FrankRuehl"/>
          <w:color w:val="222222"/>
          <w:sz w:val="26"/>
          <w:szCs w:val="26"/>
          <w:rtl/>
        </w:rPr>
        <w:t>או להפריע לאדם אחר</w:t>
      </w:r>
    </w:p>
    <w:p w14:paraId="74AAB401" w14:textId="77777777" w:rsidR="0056386D" w:rsidRPr="002B63D8" w:rsidRDefault="0056386D" w:rsidP="0056386D">
      <w:pPr>
        <w:shd w:val="clear" w:color="auto" w:fill="FFFFFF"/>
        <w:spacing w:after="24" w:line="240" w:lineRule="auto"/>
        <w:ind w:left="720" w:right="384"/>
        <w:rPr>
          <w:rFonts w:ascii="FrankRuehl" w:eastAsia="Times New Roman" w:hAnsi="FrankRuehl" w:cs="FrankRuehl"/>
          <w:color w:val="222222"/>
          <w:sz w:val="26"/>
          <w:szCs w:val="26"/>
        </w:rPr>
      </w:pPr>
      <w:r w:rsidRPr="002B63D8">
        <w:rPr>
          <w:rFonts w:ascii="FrankRuehl" w:eastAsia="Times New Roman" w:hAnsi="FrankRuehl" w:cs="FrankRuehl"/>
          <w:color w:val="222222"/>
          <w:sz w:val="26"/>
          <w:szCs w:val="26"/>
          <w:rtl/>
        </w:rPr>
        <w:t>או להכשילו מלעזור לשוטר</w:t>
      </w:r>
      <w:r w:rsidRPr="002B63D8">
        <w:rPr>
          <w:rFonts w:ascii="FrankRuehl" w:eastAsia="Times New Roman" w:hAnsi="FrankRuehl" w:cs="FrankRuehl"/>
          <w:color w:val="222222"/>
          <w:sz w:val="26"/>
          <w:szCs w:val="26"/>
        </w:rPr>
        <w:t>,</w:t>
      </w:r>
    </w:p>
    <w:p w14:paraId="53C87F7A" w14:textId="77777777" w:rsidR="0056386D" w:rsidRPr="002B63D8" w:rsidRDefault="0056386D" w:rsidP="0056386D">
      <w:pPr>
        <w:shd w:val="clear" w:color="auto" w:fill="FFFFFF"/>
        <w:spacing w:after="24" w:line="240" w:lineRule="auto"/>
        <w:ind w:left="720" w:right="384"/>
        <w:rPr>
          <w:rFonts w:ascii="Arial" w:eastAsia="Times New Roman" w:hAnsi="Arial" w:cs="Arial"/>
          <w:color w:val="222222"/>
          <w:sz w:val="21"/>
          <w:szCs w:val="21"/>
        </w:rPr>
      </w:pPr>
      <w:r w:rsidRPr="002B63D8">
        <w:rPr>
          <w:rFonts w:ascii="FrankRuehl" w:eastAsia="Times New Roman" w:hAnsi="FrankRuehl" w:cs="FrankRuehl"/>
          <w:color w:val="222222"/>
          <w:sz w:val="26"/>
          <w:szCs w:val="26"/>
          <w:rtl/>
        </w:rPr>
        <w:t>דינו – מאסר עד שלוש שנים, ולא פחות משבועיים ימים</w:t>
      </w:r>
      <w:r w:rsidRPr="00A70AAF">
        <w:rPr>
          <w:rFonts w:ascii="FrankRuehl" w:eastAsia="Times New Roman" w:hAnsi="FrankRuehl" w:cs="FrankRuehl"/>
          <w:color w:val="222222"/>
          <w:sz w:val="26"/>
          <w:szCs w:val="26"/>
          <w:rtl/>
        </w:rPr>
        <w:t>.</w:t>
      </w:r>
    </w:p>
    <w:p w14:paraId="4DCF4190" w14:textId="77777777" w:rsidR="0056386D" w:rsidRPr="002B63D8" w:rsidRDefault="0056386D" w:rsidP="0056386D">
      <w:pPr>
        <w:jc w:val="both"/>
        <w:rPr>
          <w:rFonts w:ascii="David" w:hAnsi="David" w:cs="David"/>
          <w:sz w:val="24"/>
          <w:szCs w:val="24"/>
          <w:rtl/>
        </w:rPr>
      </w:pPr>
    </w:p>
    <w:p w14:paraId="23130DC7" w14:textId="77777777" w:rsidR="0056386D" w:rsidRDefault="0056386D" w:rsidP="0056386D">
      <w:pPr>
        <w:jc w:val="both"/>
        <w:rPr>
          <w:rFonts w:ascii="David" w:hAnsi="David" w:cs="David"/>
          <w:sz w:val="24"/>
          <w:szCs w:val="24"/>
          <w:rtl/>
        </w:rPr>
      </w:pPr>
      <w:r>
        <w:rPr>
          <w:rFonts w:ascii="David" w:hAnsi="David" w:cs="David" w:hint="cs"/>
          <w:sz w:val="24"/>
          <w:szCs w:val="24"/>
          <w:rtl/>
        </w:rPr>
        <w:t>פעילותם של פעילי התכנית מכוונת להפרעה לעבודתם של חיילי צה"ל ושוטרים בשטחי יו"ש וירושלים. הפעילים מצטרפים לפעילים אנרכיסטים ידועים (להלן נספח ד) אשר באופן קבוע עושים כל שביכולתם להפריע לכוחות בשטח, ולעתים אף מעורבים בצורה אקטיבית בפעילות זו. (להלן נספח ה)</w:t>
      </w:r>
    </w:p>
    <w:p w14:paraId="2D044451" w14:textId="77777777" w:rsidR="0056386D" w:rsidRDefault="0056386D" w:rsidP="0056386D">
      <w:pPr>
        <w:jc w:val="both"/>
        <w:rPr>
          <w:rFonts w:ascii="David" w:hAnsi="David" w:cs="David"/>
          <w:sz w:val="24"/>
          <w:szCs w:val="24"/>
          <w:rtl/>
        </w:rPr>
      </w:pPr>
      <w:r>
        <w:rPr>
          <w:rFonts w:ascii="David" w:hAnsi="David" w:cs="David" w:hint="cs"/>
          <w:sz w:val="24"/>
          <w:szCs w:val="24"/>
          <w:rtl/>
        </w:rPr>
        <w:t>מהמקרים לעיל עולה בצורה ברורה, כי פעילות פעילי התכנית אינה עומדת בקנה אחד עם החוק, זאת כאשר אשרת שהייתם בישראל אף אינה מאפשרת פעילות מסוג זה.</w:t>
      </w:r>
    </w:p>
    <w:p w14:paraId="17BD93AC" w14:textId="77777777" w:rsidR="0056386D" w:rsidRDefault="0056386D" w:rsidP="0056386D">
      <w:pPr>
        <w:jc w:val="both"/>
        <w:rPr>
          <w:rFonts w:ascii="David" w:hAnsi="David" w:cs="David"/>
          <w:sz w:val="24"/>
          <w:szCs w:val="24"/>
          <w:rtl/>
        </w:rPr>
      </w:pPr>
    </w:p>
    <w:p w14:paraId="5ED6E275" w14:textId="77777777" w:rsidR="0056386D" w:rsidRDefault="0056386D" w:rsidP="0056386D">
      <w:pPr>
        <w:jc w:val="both"/>
        <w:rPr>
          <w:rFonts w:ascii="David" w:hAnsi="David" w:cs="David"/>
          <w:b/>
          <w:bCs/>
          <w:sz w:val="24"/>
          <w:szCs w:val="24"/>
          <w:rtl/>
        </w:rPr>
      </w:pPr>
      <w:r w:rsidRPr="002B63D8">
        <w:rPr>
          <w:rFonts w:ascii="David" w:hAnsi="David" w:cs="David" w:hint="cs"/>
          <w:b/>
          <w:bCs/>
          <w:sz w:val="24"/>
          <w:szCs w:val="24"/>
          <w:rtl/>
        </w:rPr>
        <w:t>ריגול:</w:t>
      </w:r>
    </w:p>
    <w:p w14:paraId="74BA8C73"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חוק העונשין סעיף </w:t>
      </w:r>
      <w:r>
        <w:rPr>
          <w:rStyle w:val="a5"/>
          <w:rFonts w:ascii="David" w:hAnsi="David" w:cs="David"/>
          <w:sz w:val="24"/>
          <w:szCs w:val="24"/>
          <w:rtl/>
        </w:rPr>
        <w:footnoteReference w:id="8"/>
      </w:r>
      <w:r>
        <w:rPr>
          <w:rFonts w:ascii="David" w:hAnsi="David" w:cs="David" w:hint="cs"/>
          <w:sz w:val="24"/>
          <w:szCs w:val="24"/>
          <w:rtl/>
        </w:rPr>
        <w:t>112 קובע כי:</w:t>
      </w:r>
    </w:p>
    <w:p w14:paraId="33AB11D6" w14:textId="77777777" w:rsidR="0056386D" w:rsidRPr="00A70AAF" w:rsidRDefault="0056386D" w:rsidP="0056386D">
      <w:pPr>
        <w:ind w:left="720"/>
        <w:rPr>
          <w:rFonts w:ascii="FrankRuehl" w:hAnsi="FrankRuehl" w:cs="FrankRuehl"/>
          <w:sz w:val="26"/>
          <w:szCs w:val="26"/>
          <w:rtl/>
        </w:rPr>
      </w:pPr>
      <w:r w:rsidRPr="00A70AAF">
        <w:rPr>
          <w:rFonts w:ascii="FrankRuehl" w:hAnsi="FrankRuehl" w:cs="FrankRuehl"/>
          <w:sz w:val="26"/>
          <w:szCs w:val="26"/>
          <w:rtl/>
        </w:rPr>
        <w:t>(א) מי שמסר ידיעה והתכוון לפגוע בבטחון המדינה, דינו - מאסר חמש-עשרה שנים.</w:t>
      </w:r>
    </w:p>
    <w:p w14:paraId="44D81489" w14:textId="77777777" w:rsidR="0056386D" w:rsidRPr="00A70AAF" w:rsidRDefault="0056386D" w:rsidP="0056386D">
      <w:pPr>
        <w:ind w:left="720"/>
        <w:jc w:val="both"/>
        <w:rPr>
          <w:rFonts w:ascii="FrankRuehl" w:hAnsi="FrankRuehl" w:cs="FrankRuehl"/>
          <w:sz w:val="26"/>
          <w:szCs w:val="26"/>
          <w:rtl/>
        </w:rPr>
      </w:pPr>
      <w:r w:rsidRPr="00A70AAF">
        <w:rPr>
          <w:rFonts w:ascii="FrankRuehl" w:hAnsi="FrankRuehl" w:cs="FrankRuehl"/>
          <w:sz w:val="26"/>
          <w:szCs w:val="26"/>
          <w:rtl/>
        </w:rPr>
        <w:t>(ב) מי שהשיג, אסף, הכין, רשם או החזיק ידיעה והתכוון לפגוע בבטחון המדינה, דינו - מאסר עשר שנים.</w:t>
      </w:r>
    </w:p>
    <w:p w14:paraId="3098A4C9" w14:textId="77777777" w:rsidR="0056386D" w:rsidRDefault="0056386D" w:rsidP="0056386D">
      <w:pPr>
        <w:jc w:val="both"/>
        <w:rPr>
          <w:rFonts w:ascii="David" w:hAnsi="David" w:cs="David"/>
          <w:sz w:val="24"/>
          <w:szCs w:val="24"/>
          <w:rtl/>
        </w:rPr>
      </w:pPr>
    </w:p>
    <w:p w14:paraId="6AF684C4" w14:textId="77777777" w:rsidR="0056386D" w:rsidRDefault="0056386D" w:rsidP="0056386D">
      <w:pPr>
        <w:jc w:val="both"/>
        <w:rPr>
          <w:rFonts w:ascii="David" w:hAnsi="David" w:cs="David"/>
          <w:sz w:val="24"/>
          <w:szCs w:val="24"/>
          <w:rtl/>
        </w:rPr>
      </w:pPr>
      <w:r>
        <w:rPr>
          <w:rFonts w:ascii="David" w:hAnsi="David" w:cs="David" w:hint="cs"/>
          <w:sz w:val="24"/>
          <w:szCs w:val="24"/>
          <w:rtl/>
        </w:rPr>
        <w:t>הפעילים מצלמים תרגילים של צה"ל, תרגילים סודיים אשר אינם צריכים לבוא בפרסום ומפרסמים אותם בבלוגים השונים, בפייסבוק ובאתר הארגון (להלן נספח ו'), פרסום התמונות והסרטונים פתוח לציבור הכללי ומאפשר גישה לגורמים עוינים למדינת ישראל למידע זה, משכך הם מהווים פגיעה בביטחון המדינה. מדובר באיסוף מידע מתוכנן שיטתי ומאורגן אשר מנוהל על ידי הארגון ולפיכך לא ניתן לטעון כי מדובר בטעות נקודתית.</w:t>
      </w:r>
    </w:p>
    <w:p w14:paraId="0E503390" w14:textId="77777777" w:rsidR="0056386D" w:rsidRDefault="0056386D" w:rsidP="0056386D">
      <w:pPr>
        <w:jc w:val="both"/>
        <w:rPr>
          <w:rFonts w:ascii="David" w:hAnsi="David" w:cs="David" w:hint="cs"/>
          <w:sz w:val="24"/>
          <w:szCs w:val="24"/>
          <w:rtl/>
        </w:rPr>
      </w:pPr>
    </w:p>
    <w:p w14:paraId="35D6E591" w14:textId="77777777" w:rsidR="0056386D" w:rsidRPr="00AA3A66" w:rsidRDefault="0056386D" w:rsidP="0056386D">
      <w:pPr>
        <w:jc w:val="both"/>
        <w:rPr>
          <w:rFonts w:ascii="David" w:hAnsi="David" w:cs="David"/>
          <w:b/>
          <w:bCs/>
          <w:sz w:val="24"/>
          <w:szCs w:val="24"/>
          <w:rtl/>
        </w:rPr>
      </w:pPr>
      <w:r w:rsidRPr="00AA3A66">
        <w:rPr>
          <w:rFonts w:ascii="David" w:hAnsi="David" w:cs="David" w:hint="cs"/>
          <w:b/>
          <w:bCs/>
          <w:sz w:val="24"/>
          <w:szCs w:val="24"/>
          <w:rtl/>
        </w:rPr>
        <w:t xml:space="preserve">סיכום: </w:t>
      </w:r>
    </w:p>
    <w:p w14:paraId="1031C5BE"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מהנתונים שלפנינו עולה תמונה ברורה של ארגון אשר מצהיר מפורשות כי מטרתו היא פגיעה במדינת ישראל, ופועל בצורה שיטתית ועקבית במשך שנים לאיסוף חומרים לקיום מטרה זו. אנשי הארגון עוברים במודע על חוק הכניסה לישראל סעיף 12 על ידי שימוש בשקרים מכוונים בעת בקשת האשרה, מפרים את חוק העונשין סעיף 275 באופן קבוע בהפרעה לחיילי צה"ל ושוטרי מג"ב במשימותיהם, ואף עוברים על חוק העונשין סעיף 112, על ידי איסוף ידיעות ביטחוניות ופרסומם. </w:t>
      </w:r>
    </w:p>
    <w:p w14:paraId="607BCA3C" w14:textId="77777777" w:rsidR="0056386D" w:rsidRDefault="0056386D" w:rsidP="0056386D">
      <w:pPr>
        <w:jc w:val="both"/>
        <w:rPr>
          <w:rFonts w:ascii="David" w:hAnsi="David" w:cs="David"/>
          <w:sz w:val="24"/>
          <w:szCs w:val="24"/>
          <w:rtl/>
        </w:rPr>
      </w:pPr>
      <w:r>
        <w:rPr>
          <w:rFonts w:ascii="David" w:hAnsi="David" w:cs="David" w:hint="cs"/>
          <w:sz w:val="24"/>
          <w:szCs w:val="24"/>
          <w:rtl/>
        </w:rPr>
        <w:t>כל זאת ועוד מבסס תמונה מדאיגה של ארגון זר אשר חדר במשך עשרות שנים למדינת ישראל ועד היום ועובר במכוון על החוק הישראלי בכדי להוציא את דיבת ישראל רעה בעולם.</w:t>
      </w:r>
    </w:p>
    <w:p w14:paraId="080A5331" w14:textId="77777777" w:rsidR="0056386D" w:rsidRDefault="0056386D" w:rsidP="0056386D">
      <w:pPr>
        <w:jc w:val="both"/>
        <w:rPr>
          <w:rFonts w:ascii="David" w:hAnsi="David" w:cs="David"/>
          <w:sz w:val="24"/>
          <w:szCs w:val="24"/>
          <w:rtl/>
        </w:rPr>
      </w:pPr>
      <w:r>
        <w:rPr>
          <w:rFonts w:ascii="David" w:hAnsi="David" w:cs="David" w:hint="cs"/>
          <w:sz w:val="24"/>
          <w:szCs w:val="24"/>
          <w:rtl/>
        </w:rPr>
        <w:t>על מדינת ישראל לפעול בכל הכלים שבאמצעותה על מנת למנוע פעילות זו, ולהפעיל יד חזקה נגד אלו אשר פועלים לפגוע בה.</w:t>
      </w:r>
    </w:p>
    <w:p w14:paraId="0F2627CA" w14:textId="3226D9E8" w:rsidR="0056386D" w:rsidRDefault="00CC33AB" w:rsidP="0056386D">
      <w:pPr>
        <w:jc w:val="both"/>
        <w:rPr>
          <w:rFonts w:ascii="David" w:hAnsi="David" w:cs="David"/>
          <w:sz w:val="24"/>
          <w:szCs w:val="24"/>
          <w:rtl/>
        </w:rPr>
      </w:pPr>
      <w:r>
        <w:rPr>
          <w:rFonts w:ascii="David" w:hAnsi="David" w:cs="David" w:hint="cs"/>
          <w:sz w:val="24"/>
          <w:szCs w:val="24"/>
          <w:rtl/>
        </w:rPr>
        <w:t>לפיכך אנו פונים אליך בבקשה למצות את ההליכים עם פעילי הארגון ולמנוע את פעילותו בישראל.</w:t>
      </w:r>
    </w:p>
    <w:p w14:paraId="45D13192" w14:textId="77777777" w:rsidR="0056386D" w:rsidRDefault="0056386D" w:rsidP="0056386D">
      <w:pPr>
        <w:jc w:val="both"/>
        <w:rPr>
          <w:rFonts w:ascii="David" w:hAnsi="David" w:cs="David"/>
          <w:sz w:val="24"/>
          <w:szCs w:val="24"/>
          <w:rtl/>
        </w:rPr>
      </w:pPr>
    </w:p>
    <w:p w14:paraId="056788EE" w14:textId="77777777" w:rsidR="0056386D" w:rsidRDefault="0056386D" w:rsidP="0056386D">
      <w:pPr>
        <w:jc w:val="both"/>
        <w:rPr>
          <w:rFonts w:ascii="David" w:hAnsi="David" w:cs="David"/>
          <w:sz w:val="24"/>
          <w:szCs w:val="24"/>
          <w:rtl/>
        </w:rPr>
      </w:pPr>
      <w:r>
        <w:rPr>
          <w:rFonts w:ascii="David" w:hAnsi="David" w:cs="David" w:hint="cs"/>
          <w:sz w:val="24"/>
          <w:szCs w:val="24"/>
          <w:rtl/>
        </w:rPr>
        <w:t xml:space="preserve">לתשובתך בהקדם אודה, </w:t>
      </w:r>
    </w:p>
    <w:p w14:paraId="6FFCD299" w14:textId="77777777" w:rsidR="0056386D" w:rsidRDefault="0056386D" w:rsidP="0056386D">
      <w:pPr>
        <w:jc w:val="both"/>
        <w:rPr>
          <w:rFonts w:ascii="David" w:hAnsi="David" w:cs="David"/>
          <w:sz w:val="24"/>
          <w:szCs w:val="24"/>
        </w:rPr>
      </w:pPr>
      <w:r>
        <w:rPr>
          <w:rFonts w:ascii="David" w:hAnsi="David" w:cs="David" w:hint="cs"/>
          <w:sz w:val="24"/>
          <w:szCs w:val="24"/>
          <w:rtl/>
        </w:rPr>
        <w:t>בברכה,</w:t>
      </w:r>
    </w:p>
    <w:p w14:paraId="51282401" w14:textId="77777777" w:rsidR="0056386D" w:rsidRDefault="0056386D" w:rsidP="0056386D">
      <w:pPr>
        <w:jc w:val="both"/>
        <w:rPr>
          <w:rFonts w:ascii="David" w:hAnsi="David" w:cs="David" w:hint="cs"/>
          <w:sz w:val="24"/>
          <w:szCs w:val="24"/>
          <w:rtl/>
        </w:rPr>
      </w:pPr>
    </w:p>
    <w:p w14:paraId="0BFA0DE9" w14:textId="77777777" w:rsidR="0056386D" w:rsidRDefault="0056386D" w:rsidP="0056386D">
      <w:pPr>
        <w:jc w:val="center"/>
        <w:rPr>
          <w:rFonts w:ascii="David" w:hAnsi="David" w:cs="David"/>
          <w:sz w:val="24"/>
          <w:szCs w:val="24"/>
        </w:rPr>
      </w:pPr>
      <w:r>
        <w:rPr>
          <w:rFonts w:ascii="David" w:hAnsi="David" w:cs="David"/>
          <w:noProof/>
          <w:sz w:val="24"/>
          <w:szCs w:val="24"/>
        </w:rPr>
        <w:drawing>
          <wp:inline distT="0" distB="0" distL="0" distR="0" wp14:anchorId="7079161C" wp14:editId="7052200A">
            <wp:extent cx="885825" cy="5334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533400"/>
                    </a:xfrm>
                    <a:prstGeom prst="rect">
                      <a:avLst/>
                    </a:prstGeom>
                    <a:noFill/>
                    <a:ln>
                      <a:noFill/>
                    </a:ln>
                  </pic:spPr>
                </pic:pic>
              </a:graphicData>
            </a:graphic>
          </wp:inline>
        </w:drawing>
      </w:r>
    </w:p>
    <w:p w14:paraId="12F46B6E" w14:textId="77777777" w:rsidR="0056386D" w:rsidRDefault="0056386D" w:rsidP="0056386D">
      <w:pPr>
        <w:jc w:val="center"/>
        <w:rPr>
          <w:rFonts w:ascii="David" w:hAnsi="David" w:cs="David"/>
          <w:sz w:val="24"/>
          <w:szCs w:val="24"/>
          <w:rtl/>
        </w:rPr>
      </w:pPr>
      <w:r>
        <w:rPr>
          <w:rFonts w:ascii="David" w:hAnsi="David" w:cs="David"/>
          <w:sz w:val="24"/>
          <w:szCs w:val="24"/>
          <w:rtl/>
        </w:rPr>
        <w:t>יותם אייל, עו"ד</w:t>
      </w:r>
    </w:p>
    <w:p w14:paraId="45CA0EE3" w14:textId="77777777" w:rsidR="0056386D" w:rsidRDefault="0056386D" w:rsidP="0056386D">
      <w:pPr>
        <w:jc w:val="center"/>
        <w:rPr>
          <w:rFonts w:ascii="David" w:hAnsi="David" w:cs="David"/>
          <w:sz w:val="24"/>
          <w:szCs w:val="24"/>
          <w:rtl/>
        </w:rPr>
      </w:pPr>
      <w:r>
        <w:rPr>
          <w:rFonts w:ascii="David" w:hAnsi="David" w:cs="David" w:hint="cs"/>
          <w:sz w:val="24"/>
          <w:szCs w:val="24"/>
          <w:rtl/>
        </w:rPr>
        <w:t>הפורום המשפטי למען ישראל</w:t>
      </w:r>
    </w:p>
    <w:p w14:paraId="73A9EF95" w14:textId="77777777" w:rsidR="0056386D" w:rsidRDefault="0056386D" w:rsidP="0056386D">
      <w:pPr>
        <w:jc w:val="center"/>
        <w:rPr>
          <w:rFonts w:ascii="David" w:hAnsi="David" w:cs="David"/>
          <w:sz w:val="24"/>
          <w:szCs w:val="24"/>
          <w:rtl/>
        </w:rPr>
      </w:pPr>
    </w:p>
    <w:p w14:paraId="59590E27" w14:textId="77777777" w:rsidR="0056386D" w:rsidRDefault="0056386D" w:rsidP="0056386D">
      <w:pPr>
        <w:jc w:val="center"/>
        <w:rPr>
          <w:rFonts w:ascii="David" w:hAnsi="David" w:cs="David"/>
          <w:sz w:val="24"/>
          <w:szCs w:val="24"/>
          <w:rtl/>
        </w:rPr>
      </w:pPr>
    </w:p>
    <w:p w14:paraId="4880E514" w14:textId="77777777" w:rsidR="0056386D" w:rsidRDefault="0056386D" w:rsidP="0056386D">
      <w:pPr>
        <w:jc w:val="center"/>
        <w:rPr>
          <w:rFonts w:ascii="David" w:hAnsi="David" w:cs="David"/>
          <w:sz w:val="24"/>
          <w:szCs w:val="24"/>
          <w:rtl/>
        </w:rPr>
      </w:pPr>
    </w:p>
    <w:p w14:paraId="13E11439" w14:textId="77777777" w:rsidR="0056386D" w:rsidRDefault="0056386D" w:rsidP="0056386D">
      <w:pPr>
        <w:jc w:val="center"/>
        <w:rPr>
          <w:rFonts w:ascii="David" w:hAnsi="David" w:cs="David"/>
          <w:sz w:val="24"/>
          <w:szCs w:val="24"/>
          <w:rtl/>
        </w:rPr>
      </w:pPr>
    </w:p>
    <w:p w14:paraId="3CD18E06" w14:textId="77777777" w:rsidR="0056386D" w:rsidRDefault="0056386D" w:rsidP="0056386D">
      <w:pPr>
        <w:jc w:val="center"/>
        <w:rPr>
          <w:rFonts w:ascii="David" w:hAnsi="David" w:cs="David"/>
          <w:sz w:val="24"/>
          <w:szCs w:val="24"/>
          <w:rtl/>
        </w:rPr>
      </w:pPr>
    </w:p>
    <w:p w14:paraId="51AE687B" w14:textId="0D61154A" w:rsidR="00E75BE0" w:rsidRPr="004A54E4" w:rsidRDefault="00E75BE0" w:rsidP="004A54E4">
      <w:pPr>
        <w:rPr>
          <w:rFonts w:ascii="David" w:hAnsi="David" w:cs="David"/>
          <w:sz w:val="24"/>
          <w:szCs w:val="24"/>
          <w:rtl/>
        </w:rPr>
      </w:pPr>
      <w:bookmarkStart w:id="0" w:name="_GoBack"/>
      <w:bookmarkEnd w:id="0"/>
    </w:p>
    <w:sectPr w:rsidR="00E75BE0" w:rsidRPr="004A54E4" w:rsidSect="00F351E3">
      <w:headerReference w:type="default" r:id="rId8"/>
      <w:footerReference w:type="default" r:id="rId9"/>
      <w:pgSz w:w="11906" w:h="16838"/>
      <w:pgMar w:top="1366" w:right="1800" w:bottom="1440" w:left="1800" w:header="708" w:footer="2104"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AEB7C4" w16cid:durableId="21CEEE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C69D9" w14:textId="77777777" w:rsidR="005057EA" w:rsidRDefault="005057EA" w:rsidP="009F70C7">
      <w:pPr>
        <w:spacing w:after="0" w:line="240" w:lineRule="auto"/>
      </w:pPr>
      <w:r>
        <w:separator/>
      </w:r>
    </w:p>
  </w:endnote>
  <w:endnote w:type="continuationSeparator" w:id="0">
    <w:p w14:paraId="2F1E0272" w14:textId="77777777" w:rsidR="005057EA" w:rsidRDefault="005057EA" w:rsidP="009F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E735" w14:textId="77777777" w:rsidR="00E75BE0" w:rsidRDefault="00E75BE0">
    <w:pPr>
      <w:pStyle w:val="a8"/>
    </w:pPr>
    <w:r>
      <w:rPr>
        <w:noProof/>
      </w:rPr>
      <w:drawing>
        <wp:anchor distT="0" distB="0" distL="114300" distR="114300" simplePos="0" relativeHeight="251659264" behindDoc="1" locked="0" layoutInCell="1" allowOverlap="1" wp14:anchorId="0653A937" wp14:editId="528F5ED9">
          <wp:simplePos x="0" y="0"/>
          <wp:positionH relativeFrom="margin">
            <wp:posOffset>0</wp:posOffset>
          </wp:positionH>
          <wp:positionV relativeFrom="paragraph">
            <wp:posOffset>0</wp:posOffset>
          </wp:positionV>
          <wp:extent cx="5274310" cy="1471295"/>
          <wp:effectExtent l="0" t="0" r="2540" b="0"/>
          <wp:wrapNone/>
          <wp:docPr id="27"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471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FB8E" w14:textId="77777777" w:rsidR="005057EA" w:rsidRDefault="005057EA" w:rsidP="009F70C7">
      <w:pPr>
        <w:spacing w:after="0" w:line="240" w:lineRule="auto"/>
      </w:pPr>
      <w:r>
        <w:separator/>
      </w:r>
    </w:p>
  </w:footnote>
  <w:footnote w:type="continuationSeparator" w:id="0">
    <w:p w14:paraId="7D065782" w14:textId="77777777" w:rsidR="005057EA" w:rsidRDefault="005057EA" w:rsidP="009F70C7">
      <w:pPr>
        <w:spacing w:after="0" w:line="240" w:lineRule="auto"/>
      </w:pPr>
      <w:r>
        <w:continuationSeparator/>
      </w:r>
    </w:p>
  </w:footnote>
  <w:footnote w:id="1">
    <w:p w14:paraId="19A400D1" w14:textId="77777777" w:rsidR="0056386D" w:rsidRDefault="0056386D" w:rsidP="0056386D">
      <w:pPr>
        <w:pStyle w:val="a3"/>
        <w:rPr>
          <w:rtl/>
        </w:rPr>
      </w:pPr>
      <w:r>
        <w:rPr>
          <w:rStyle w:val="a5"/>
        </w:rPr>
        <w:footnoteRef/>
      </w:r>
      <w:r>
        <w:rPr>
          <w:rtl/>
        </w:rPr>
        <w:t xml:space="preserve"> </w:t>
      </w:r>
      <w:hyperlink r:id="rId1" w:history="1">
        <w:r>
          <w:rPr>
            <w:rStyle w:val="Hyperlink"/>
          </w:rPr>
          <w:t>https://he.wikipedia.org/wiki/%D7%9E%D7%95%D7%A2%D7%A6%D7%AA_%D7%94%D7%9B%D7%A0%D7%A1%D7%99%D7%95%D7%AA_%D7%94%D7%A2%D7%95%D7%9C%D7%9E%D7%99%D7%AA</w:t>
        </w:r>
      </w:hyperlink>
    </w:p>
  </w:footnote>
  <w:footnote w:id="2">
    <w:p w14:paraId="43C01C08" w14:textId="77777777" w:rsidR="0056386D" w:rsidRDefault="0056386D" w:rsidP="0056386D">
      <w:pPr>
        <w:pStyle w:val="a3"/>
        <w:rPr>
          <w:rFonts w:hint="cs"/>
          <w:rtl/>
        </w:rPr>
      </w:pPr>
      <w:r>
        <w:rPr>
          <w:rStyle w:val="a5"/>
        </w:rPr>
        <w:footnoteRef/>
      </w:r>
      <w:r>
        <w:rPr>
          <w:rtl/>
        </w:rPr>
        <w:t xml:space="preserve"> </w:t>
      </w:r>
      <w:hyperlink r:id="rId2" w:history="1">
        <w:r>
          <w:rPr>
            <w:rStyle w:val="Hyperlink"/>
          </w:rPr>
          <w:t>https://www.ngo-monitor.org.il/nm/wp-content/uploads//2019/01/EAPPI-Report_Final-Hebrew.pdf</w:t>
        </w:r>
      </w:hyperlink>
      <w:r>
        <w:rPr>
          <w:rFonts w:hint="cs"/>
          <w:rtl/>
        </w:rPr>
        <w:t xml:space="preserve"> עמ' 5.</w:t>
      </w:r>
    </w:p>
  </w:footnote>
  <w:footnote w:id="3">
    <w:p w14:paraId="3C002B09" w14:textId="77777777" w:rsidR="0056386D" w:rsidRDefault="0056386D" w:rsidP="0056386D">
      <w:pPr>
        <w:pStyle w:val="a3"/>
        <w:rPr>
          <w:rFonts w:hint="cs"/>
          <w:rtl/>
        </w:rPr>
      </w:pPr>
      <w:r>
        <w:rPr>
          <w:rStyle w:val="a5"/>
        </w:rPr>
        <w:footnoteRef/>
      </w:r>
      <w:r>
        <w:rPr>
          <w:rtl/>
        </w:rPr>
        <w:t xml:space="preserve"> </w:t>
      </w:r>
      <w:r>
        <w:rPr>
          <w:rFonts w:hint="cs"/>
          <w:rtl/>
        </w:rPr>
        <w:t>חוק הכניסה לישראל תשי"ב- 1952,</w:t>
      </w:r>
      <w:r w:rsidRPr="00F54AF1">
        <w:rPr>
          <w:rFonts w:hint="cs"/>
          <w:rtl/>
        </w:rPr>
        <w:t xml:space="preserve"> </w:t>
      </w:r>
      <w:r>
        <w:rPr>
          <w:rFonts w:hint="cs"/>
          <w:rtl/>
        </w:rPr>
        <w:t>סע' 2 (ד) תיקון 28.</w:t>
      </w:r>
    </w:p>
  </w:footnote>
  <w:footnote w:id="4">
    <w:p w14:paraId="6D7FC0B9" w14:textId="77777777" w:rsidR="0056386D" w:rsidRPr="00F54AF1" w:rsidRDefault="0056386D" w:rsidP="0056386D">
      <w:pPr>
        <w:pStyle w:val="a3"/>
        <w:rPr>
          <w:rFonts w:hint="cs"/>
          <w:rtl/>
        </w:rPr>
      </w:pPr>
      <w:r>
        <w:rPr>
          <w:rStyle w:val="a5"/>
        </w:rPr>
        <w:footnoteRef/>
      </w:r>
      <w:r>
        <w:rPr>
          <w:rtl/>
        </w:rPr>
        <w:t xml:space="preserve"> </w:t>
      </w:r>
      <w:hyperlink r:id="rId3" w:history="1">
        <w:r>
          <w:rPr>
            <w:rStyle w:val="Hyperlink"/>
          </w:rPr>
          <w:t>https://mfa.gov.il/ConsularService/Visas/Pages/ashrot.aspx</w:t>
        </w:r>
      </w:hyperlink>
    </w:p>
  </w:footnote>
  <w:footnote w:id="5">
    <w:p w14:paraId="59116BD9" w14:textId="77777777" w:rsidR="0056386D" w:rsidRPr="00F54AF1" w:rsidRDefault="0056386D" w:rsidP="0056386D">
      <w:pPr>
        <w:pStyle w:val="a3"/>
        <w:rPr>
          <w:rFonts w:hint="cs"/>
          <w:rtl/>
        </w:rPr>
      </w:pPr>
      <w:r>
        <w:rPr>
          <w:rStyle w:val="a5"/>
        </w:rPr>
        <w:footnoteRef/>
      </w:r>
      <w:r>
        <w:rPr>
          <w:rtl/>
        </w:rPr>
        <w:t xml:space="preserve"> </w:t>
      </w:r>
      <w:hyperlink r:id="rId4" w:history="1">
        <w:r w:rsidRPr="00F810D3">
          <w:rPr>
            <w:rStyle w:val="Hyperlink"/>
          </w:rPr>
          <w:t>https://www.molsa.gov.il/Populations/Community/Volunteering/VolunteerAbroad/Pages/InternationalOrganizations.aspx</w:t>
        </w:r>
      </w:hyperlink>
    </w:p>
  </w:footnote>
  <w:footnote w:id="6">
    <w:p w14:paraId="0C633A61" w14:textId="77777777" w:rsidR="0056386D" w:rsidRDefault="0056386D" w:rsidP="0056386D">
      <w:pPr>
        <w:pStyle w:val="a3"/>
        <w:rPr>
          <w:rFonts w:hint="cs"/>
        </w:rPr>
      </w:pPr>
      <w:r>
        <w:rPr>
          <w:rStyle w:val="a5"/>
        </w:rPr>
        <w:footnoteRef/>
      </w:r>
      <w:r>
        <w:rPr>
          <w:rtl/>
        </w:rPr>
        <w:t xml:space="preserve"> </w:t>
      </w:r>
      <w:r>
        <w:rPr>
          <w:rFonts w:hint="cs"/>
          <w:rtl/>
        </w:rPr>
        <w:t>חוק הכניסה לישראל תשי"ב- 1952,</w:t>
      </w:r>
      <w:r w:rsidRPr="00F54AF1">
        <w:rPr>
          <w:rFonts w:hint="cs"/>
          <w:rtl/>
        </w:rPr>
        <w:t xml:space="preserve"> </w:t>
      </w:r>
      <w:r>
        <w:rPr>
          <w:rFonts w:hint="cs"/>
          <w:rtl/>
        </w:rPr>
        <w:t>סע' 12.</w:t>
      </w:r>
    </w:p>
  </w:footnote>
  <w:footnote w:id="7">
    <w:p w14:paraId="55C346D8" w14:textId="77777777" w:rsidR="0056386D" w:rsidRDefault="0056386D" w:rsidP="0056386D">
      <w:pPr>
        <w:pStyle w:val="a3"/>
        <w:rPr>
          <w:rFonts w:hint="cs"/>
          <w:rtl/>
        </w:rPr>
      </w:pPr>
      <w:r>
        <w:rPr>
          <w:rStyle w:val="a5"/>
        </w:rPr>
        <w:footnoteRef/>
      </w:r>
      <w:r>
        <w:rPr>
          <w:rtl/>
        </w:rPr>
        <w:t xml:space="preserve"> </w:t>
      </w:r>
      <w:r>
        <w:rPr>
          <w:rFonts w:hint="cs"/>
          <w:rtl/>
        </w:rPr>
        <w:t>חוק העונשין, תשל"ז-1977, סע' 275.</w:t>
      </w:r>
    </w:p>
  </w:footnote>
  <w:footnote w:id="8">
    <w:p w14:paraId="3F81C1BB" w14:textId="77777777" w:rsidR="0056386D" w:rsidRDefault="0056386D" w:rsidP="0056386D">
      <w:pPr>
        <w:pStyle w:val="a3"/>
        <w:rPr>
          <w:rFonts w:hint="cs"/>
          <w:rtl/>
        </w:rPr>
      </w:pPr>
      <w:r>
        <w:rPr>
          <w:rStyle w:val="a5"/>
        </w:rPr>
        <w:footnoteRef/>
      </w:r>
      <w:r>
        <w:rPr>
          <w:rtl/>
        </w:rPr>
        <w:t xml:space="preserve"> </w:t>
      </w:r>
      <w:r>
        <w:rPr>
          <w:rFonts w:hint="cs"/>
          <w:rtl/>
        </w:rPr>
        <w:t>חוק העונשין, תשל"ז-1977, סע' 112.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ADF3" w14:textId="1E53E013" w:rsidR="00E75BE0" w:rsidRDefault="00F351E3">
    <w:pPr>
      <w:pStyle w:val="a6"/>
      <w:rPr>
        <w:rFonts w:hint="cs"/>
        <w:rtl/>
      </w:rPr>
    </w:pPr>
    <w:r>
      <w:rPr>
        <w:noProof/>
      </w:rPr>
      <w:drawing>
        <wp:anchor distT="0" distB="0" distL="114300" distR="114300" simplePos="0" relativeHeight="251660288" behindDoc="0" locked="0" layoutInCell="1" allowOverlap="1" wp14:anchorId="727C8F51" wp14:editId="10429D05">
          <wp:simplePos x="0" y="0"/>
          <wp:positionH relativeFrom="margin">
            <wp:align>left</wp:align>
          </wp:positionH>
          <wp:positionV relativeFrom="paragraph">
            <wp:posOffset>7620</wp:posOffset>
          </wp:positionV>
          <wp:extent cx="1171575" cy="1162050"/>
          <wp:effectExtent l="0" t="0" r="9525" b="0"/>
          <wp:wrapNone/>
          <wp:docPr id="7"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162050"/>
                  </a:xfrm>
                  <a:prstGeom prst="rect">
                    <a:avLst/>
                  </a:prstGeom>
                </pic:spPr>
              </pic:pic>
            </a:graphicData>
          </a:graphic>
          <wp14:sizeRelH relativeFrom="margin">
            <wp14:pctWidth>0</wp14:pctWidth>
          </wp14:sizeRelH>
          <wp14:sizeRelV relativeFrom="margin">
            <wp14:pctHeight>0</wp14:pctHeight>
          </wp14:sizeRelV>
        </wp:anchor>
      </w:drawing>
    </w:r>
    <w:r w:rsidR="00E75BE0">
      <w:rPr>
        <w:noProof/>
      </w:rPr>
      <w:drawing>
        <wp:inline distT="0" distB="0" distL="0" distR="0" wp14:anchorId="007D9061" wp14:editId="6C189687">
          <wp:extent cx="2512060" cy="1155700"/>
          <wp:effectExtent l="0" t="0" r="2540" b="6350"/>
          <wp:docPr id="25"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2060" cy="1155700"/>
                  </a:xfrm>
                  <a:prstGeom prst="rect">
                    <a:avLst/>
                  </a:prstGeom>
                </pic:spPr>
              </pic:pic>
            </a:graphicData>
          </a:graphic>
        </wp:inline>
      </w:drawing>
    </w:r>
    <w:r>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1C"/>
    <w:rsid w:val="000B5483"/>
    <w:rsid w:val="00161A2F"/>
    <w:rsid w:val="00274BF8"/>
    <w:rsid w:val="002B63D8"/>
    <w:rsid w:val="0040199D"/>
    <w:rsid w:val="004A54E4"/>
    <w:rsid w:val="005057EA"/>
    <w:rsid w:val="00554CAF"/>
    <w:rsid w:val="0056386D"/>
    <w:rsid w:val="0068011C"/>
    <w:rsid w:val="006C787E"/>
    <w:rsid w:val="00921A19"/>
    <w:rsid w:val="009F70C7"/>
    <w:rsid w:val="00A43F1B"/>
    <w:rsid w:val="00A70AAF"/>
    <w:rsid w:val="00AA3A66"/>
    <w:rsid w:val="00B9154A"/>
    <w:rsid w:val="00BA215A"/>
    <w:rsid w:val="00C06A9A"/>
    <w:rsid w:val="00CB74BB"/>
    <w:rsid w:val="00CC33AB"/>
    <w:rsid w:val="00CF439E"/>
    <w:rsid w:val="00D51E5D"/>
    <w:rsid w:val="00E37A76"/>
    <w:rsid w:val="00E75BE0"/>
    <w:rsid w:val="00E878EA"/>
    <w:rsid w:val="00ED4F47"/>
    <w:rsid w:val="00F351E3"/>
    <w:rsid w:val="00F54A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030D8"/>
  <w15:chartTrackingRefBased/>
  <w15:docId w15:val="{E5C3255B-FD8B-4614-AA03-F750D872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1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basedOn w:val="a"/>
    <w:rsid w:val="00921A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921A19"/>
  </w:style>
  <w:style w:type="paragraph" w:customStyle="1" w:styleId="p22">
    <w:name w:val="p22"/>
    <w:basedOn w:val="a"/>
    <w:rsid w:val="00921A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footnote text"/>
    <w:basedOn w:val="a"/>
    <w:link w:val="a4"/>
    <w:uiPriority w:val="99"/>
    <w:semiHidden/>
    <w:unhideWhenUsed/>
    <w:rsid w:val="009F70C7"/>
    <w:pPr>
      <w:spacing w:after="0" w:line="240" w:lineRule="auto"/>
    </w:pPr>
    <w:rPr>
      <w:sz w:val="20"/>
      <w:szCs w:val="20"/>
    </w:rPr>
  </w:style>
  <w:style w:type="character" w:customStyle="1" w:styleId="a4">
    <w:name w:val="טקסט הערת שוליים תו"/>
    <w:basedOn w:val="a0"/>
    <w:link w:val="a3"/>
    <w:uiPriority w:val="99"/>
    <w:semiHidden/>
    <w:rsid w:val="009F70C7"/>
    <w:rPr>
      <w:sz w:val="20"/>
      <w:szCs w:val="20"/>
    </w:rPr>
  </w:style>
  <w:style w:type="character" w:styleId="a5">
    <w:name w:val="footnote reference"/>
    <w:basedOn w:val="a0"/>
    <w:uiPriority w:val="99"/>
    <w:semiHidden/>
    <w:unhideWhenUsed/>
    <w:rsid w:val="009F70C7"/>
    <w:rPr>
      <w:vertAlign w:val="superscript"/>
    </w:rPr>
  </w:style>
  <w:style w:type="character" w:styleId="Hyperlink">
    <w:name w:val="Hyperlink"/>
    <w:basedOn w:val="a0"/>
    <w:uiPriority w:val="99"/>
    <w:unhideWhenUsed/>
    <w:rsid w:val="009F70C7"/>
    <w:rPr>
      <w:color w:val="0000FF"/>
      <w:u w:val="single"/>
    </w:rPr>
  </w:style>
  <w:style w:type="paragraph" w:styleId="a6">
    <w:name w:val="header"/>
    <w:basedOn w:val="a"/>
    <w:link w:val="a7"/>
    <w:uiPriority w:val="99"/>
    <w:unhideWhenUsed/>
    <w:rsid w:val="00E75BE0"/>
    <w:pPr>
      <w:tabs>
        <w:tab w:val="center" w:pos="4153"/>
        <w:tab w:val="right" w:pos="8306"/>
      </w:tabs>
      <w:spacing w:after="0" w:line="240" w:lineRule="auto"/>
    </w:pPr>
  </w:style>
  <w:style w:type="character" w:customStyle="1" w:styleId="a7">
    <w:name w:val="כותרת עליונה תו"/>
    <w:basedOn w:val="a0"/>
    <w:link w:val="a6"/>
    <w:uiPriority w:val="99"/>
    <w:rsid w:val="00E75BE0"/>
  </w:style>
  <w:style w:type="paragraph" w:styleId="a8">
    <w:name w:val="footer"/>
    <w:basedOn w:val="a"/>
    <w:link w:val="a9"/>
    <w:uiPriority w:val="99"/>
    <w:unhideWhenUsed/>
    <w:rsid w:val="00E75BE0"/>
    <w:pPr>
      <w:tabs>
        <w:tab w:val="center" w:pos="4153"/>
        <w:tab w:val="right" w:pos="8306"/>
      </w:tabs>
      <w:spacing w:after="0" w:line="240" w:lineRule="auto"/>
    </w:pPr>
  </w:style>
  <w:style w:type="character" w:customStyle="1" w:styleId="a9">
    <w:name w:val="כותרת תחתונה תו"/>
    <w:basedOn w:val="a0"/>
    <w:link w:val="a8"/>
    <w:uiPriority w:val="99"/>
    <w:rsid w:val="00E75BE0"/>
  </w:style>
  <w:style w:type="paragraph" w:styleId="aa">
    <w:name w:val="Balloon Text"/>
    <w:basedOn w:val="a"/>
    <w:link w:val="ab"/>
    <w:uiPriority w:val="99"/>
    <w:semiHidden/>
    <w:unhideWhenUsed/>
    <w:rsid w:val="00E37A76"/>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E37A76"/>
    <w:rPr>
      <w:rFonts w:ascii="Tahoma" w:hAnsi="Tahoma" w:cs="Tahoma"/>
      <w:sz w:val="18"/>
      <w:szCs w:val="18"/>
    </w:rPr>
  </w:style>
  <w:style w:type="character" w:styleId="ac">
    <w:name w:val="annotation reference"/>
    <w:basedOn w:val="a0"/>
    <w:uiPriority w:val="99"/>
    <w:semiHidden/>
    <w:unhideWhenUsed/>
    <w:rsid w:val="00E37A76"/>
    <w:rPr>
      <w:sz w:val="16"/>
      <w:szCs w:val="16"/>
    </w:rPr>
  </w:style>
  <w:style w:type="paragraph" w:styleId="ad">
    <w:name w:val="annotation text"/>
    <w:basedOn w:val="a"/>
    <w:link w:val="ae"/>
    <w:uiPriority w:val="99"/>
    <w:semiHidden/>
    <w:unhideWhenUsed/>
    <w:rsid w:val="00E37A76"/>
    <w:pPr>
      <w:spacing w:line="240" w:lineRule="auto"/>
    </w:pPr>
    <w:rPr>
      <w:sz w:val="20"/>
      <w:szCs w:val="20"/>
    </w:rPr>
  </w:style>
  <w:style w:type="character" w:customStyle="1" w:styleId="ae">
    <w:name w:val="טקסט הערה תו"/>
    <w:basedOn w:val="a0"/>
    <w:link w:val="ad"/>
    <w:uiPriority w:val="99"/>
    <w:semiHidden/>
    <w:rsid w:val="00E37A76"/>
    <w:rPr>
      <w:sz w:val="20"/>
      <w:szCs w:val="20"/>
    </w:rPr>
  </w:style>
  <w:style w:type="paragraph" w:styleId="af">
    <w:name w:val="annotation subject"/>
    <w:basedOn w:val="ad"/>
    <w:next w:val="ad"/>
    <w:link w:val="af0"/>
    <w:uiPriority w:val="99"/>
    <w:semiHidden/>
    <w:unhideWhenUsed/>
    <w:rsid w:val="00E37A76"/>
    <w:rPr>
      <w:b/>
      <w:bCs/>
    </w:rPr>
  </w:style>
  <w:style w:type="character" w:customStyle="1" w:styleId="af0">
    <w:name w:val="נושא הערה תו"/>
    <w:basedOn w:val="ae"/>
    <w:link w:val="af"/>
    <w:uiPriority w:val="99"/>
    <w:semiHidden/>
    <w:rsid w:val="00E37A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0659">
      <w:bodyDiv w:val="1"/>
      <w:marLeft w:val="0"/>
      <w:marRight w:val="0"/>
      <w:marTop w:val="0"/>
      <w:marBottom w:val="0"/>
      <w:divBdr>
        <w:top w:val="none" w:sz="0" w:space="0" w:color="auto"/>
        <w:left w:val="none" w:sz="0" w:space="0" w:color="auto"/>
        <w:bottom w:val="none" w:sz="0" w:space="0" w:color="auto"/>
        <w:right w:val="none" w:sz="0" w:space="0" w:color="auto"/>
      </w:divBdr>
    </w:div>
    <w:div w:id="940647230">
      <w:bodyDiv w:val="1"/>
      <w:marLeft w:val="0"/>
      <w:marRight w:val="0"/>
      <w:marTop w:val="0"/>
      <w:marBottom w:val="0"/>
      <w:divBdr>
        <w:top w:val="none" w:sz="0" w:space="0" w:color="auto"/>
        <w:left w:val="none" w:sz="0" w:space="0" w:color="auto"/>
        <w:bottom w:val="none" w:sz="0" w:space="0" w:color="auto"/>
        <w:right w:val="none" w:sz="0" w:space="0" w:color="auto"/>
      </w:divBdr>
    </w:div>
    <w:div w:id="1391616794">
      <w:bodyDiv w:val="1"/>
      <w:marLeft w:val="0"/>
      <w:marRight w:val="0"/>
      <w:marTop w:val="0"/>
      <w:marBottom w:val="0"/>
      <w:divBdr>
        <w:top w:val="none" w:sz="0" w:space="0" w:color="auto"/>
        <w:left w:val="none" w:sz="0" w:space="0" w:color="auto"/>
        <w:bottom w:val="none" w:sz="0" w:space="0" w:color="auto"/>
        <w:right w:val="none" w:sz="0" w:space="0" w:color="auto"/>
      </w:divBdr>
    </w:div>
    <w:div w:id="2083526457">
      <w:bodyDiv w:val="1"/>
      <w:marLeft w:val="0"/>
      <w:marRight w:val="0"/>
      <w:marTop w:val="0"/>
      <w:marBottom w:val="0"/>
      <w:divBdr>
        <w:top w:val="none" w:sz="0" w:space="0" w:color="auto"/>
        <w:left w:val="none" w:sz="0" w:space="0" w:color="auto"/>
        <w:bottom w:val="none" w:sz="0" w:space="0" w:color="auto"/>
        <w:right w:val="none" w:sz="0" w:space="0" w:color="auto"/>
      </w:divBdr>
    </w:div>
    <w:div w:id="2129615261">
      <w:bodyDiv w:val="1"/>
      <w:marLeft w:val="0"/>
      <w:marRight w:val="0"/>
      <w:marTop w:val="0"/>
      <w:marBottom w:val="0"/>
      <w:divBdr>
        <w:top w:val="none" w:sz="0" w:space="0" w:color="auto"/>
        <w:left w:val="none" w:sz="0" w:space="0" w:color="auto"/>
        <w:bottom w:val="none" w:sz="0" w:space="0" w:color="auto"/>
        <w:right w:val="none" w:sz="0" w:space="0" w:color="auto"/>
      </w:divBdr>
      <w:divsChild>
        <w:div w:id="2062092368">
          <w:marLeft w:val="0"/>
          <w:marRight w:val="0"/>
          <w:marTop w:val="0"/>
          <w:marBottom w:val="0"/>
          <w:divBdr>
            <w:top w:val="none" w:sz="0" w:space="0" w:color="auto"/>
            <w:left w:val="none" w:sz="0" w:space="0" w:color="auto"/>
            <w:bottom w:val="none" w:sz="0" w:space="0" w:color="auto"/>
            <w:right w:val="none" w:sz="0" w:space="0" w:color="auto"/>
          </w:divBdr>
        </w:div>
        <w:div w:id="1150177022">
          <w:marLeft w:val="0"/>
          <w:marRight w:val="0"/>
          <w:marTop w:val="0"/>
          <w:marBottom w:val="0"/>
          <w:divBdr>
            <w:top w:val="none" w:sz="0" w:space="0" w:color="auto"/>
            <w:left w:val="none" w:sz="0" w:space="0" w:color="auto"/>
            <w:bottom w:val="none" w:sz="0" w:space="0" w:color="auto"/>
            <w:right w:val="none" w:sz="0" w:space="0" w:color="auto"/>
          </w:divBdr>
          <w:divsChild>
            <w:div w:id="756369398">
              <w:marLeft w:val="0"/>
              <w:marRight w:val="0"/>
              <w:marTop w:val="0"/>
              <w:marBottom w:val="0"/>
              <w:divBdr>
                <w:top w:val="none" w:sz="0" w:space="0" w:color="auto"/>
                <w:left w:val="none" w:sz="0" w:space="0" w:color="auto"/>
                <w:bottom w:val="none" w:sz="0" w:space="0" w:color="auto"/>
                <w:right w:val="none" w:sz="0" w:space="0" w:color="auto"/>
              </w:divBdr>
              <w:divsChild>
                <w:div w:id="9552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mfa.gov.il/ConsularService/Visas/Pages/ashrot.aspx" TargetMode="External"/><Relationship Id="rId2" Type="http://schemas.openxmlformats.org/officeDocument/2006/relationships/hyperlink" Target="https://www.ngo-monitor.org.il/nm/wp-content/uploads/2019/01/EAPPI-Report_Final-Hebrew.pdf" TargetMode="External"/><Relationship Id="rId1" Type="http://schemas.openxmlformats.org/officeDocument/2006/relationships/hyperlink" Target="https://he.wikipedia.org/wiki/%D7%9E%D7%95%D7%A2%D7%A6%D7%AA_%D7%94%D7%9B%D7%A0%D7%A1%D7%99%D7%95%D7%AA_%D7%94%D7%A2%D7%95%D7%9C%D7%9E%D7%99%D7%AA" TargetMode="External"/><Relationship Id="rId4" Type="http://schemas.openxmlformats.org/officeDocument/2006/relationships/hyperlink" Target="https://www.molsa.gov.il/Populations/Community/Volunteering/VolunteerAbroad/Pages/InternationalOrganizations.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697F-2B28-49ED-86BE-F53DFA81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5312</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HP Inc.</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3</cp:revision>
  <dcterms:created xsi:type="dcterms:W3CDTF">2020-01-21T07:56:00Z</dcterms:created>
  <dcterms:modified xsi:type="dcterms:W3CDTF">2020-01-21T07:57:00Z</dcterms:modified>
</cp:coreProperties>
</file>